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5B9F2" w14:textId="00370CC0" w:rsidR="00BF7316" w:rsidRPr="00A82DBB" w:rsidRDefault="003E79D8" w:rsidP="00A82DBB">
      <w:pPr>
        <w:tabs>
          <w:tab w:val="left" w:pos="851"/>
        </w:tabs>
        <w:jc w:val="center"/>
        <w:rPr>
          <w:rFonts w:ascii="PT Astra Serif" w:hAnsi="PT Astra Serif"/>
          <w:b/>
          <w:bCs/>
          <w:sz w:val="28"/>
          <w:szCs w:val="28"/>
        </w:rPr>
      </w:pPr>
      <w:r>
        <w:rPr>
          <w:rFonts w:ascii="PT Astra Serif" w:hAnsi="PT Astra Serif"/>
          <w:b/>
          <w:bCs/>
          <w:sz w:val="28"/>
          <w:szCs w:val="28"/>
        </w:rPr>
        <w:t>Отчет о</w:t>
      </w:r>
      <w:r w:rsidR="00D34B75" w:rsidRPr="00A82DBB">
        <w:rPr>
          <w:rFonts w:ascii="PT Astra Serif" w:hAnsi="PT Astra Serif"/>
          <w:b/>
          <w:bCs/>
          <w:sz w:val="28"/>
          <w:szCs w:val="28"/>
        </w:rPr>
        <w:t xml:space="preserve">б итогах работы </w:t>
      </w:r>
      <w:r>
        <w:rPr>
          <w:rFonts w:ascii="PT Astra Serif" w:hAnsi="PT Astra Serif"/>
          <w:b/>
          <w:bCs/>
          <w:sz w:val="28"/>
          <w:szCs w:val="28"/>
        </w:rPr>
        <w:br/>
      </w:r>
      <w:r w:rsidR="00D34B75" w:rsidRPr="00A82DBB">
        <w:rPr>
          <w:rFonts w:ascii="PT Astra Serif" w:hAnsi="PT Astra Serif"/>
          <w:b/>
          <w:bCs/>
          <w:sz w:val="28"/>
          <w:szCs w:val="28"/>
        </w:rPr>
        <w:t>министерства природных ресурсов</w:t>
      </w:r>
      <w:r>
        <w:rPr>
          <w:rFonts w:ascii="PT Astra Serif" w:hAnsi="PT Astra Serif"/>
          <w:b/>
          <w:bCs/>
          <w:sz w:val="28"/>
          <w:szCs w:val="28"/>
        </w:rPr>
        <w:t xml:space="preserve"> </w:t>
      </w:r>
      <w:r w:rsidR="00D34B75" w:rsidRPr="00A82DBB">
        <w:rPr>
          <w:rFonts w:ascii="PT Astra Serif" w:hAnsi="PT Astra Serif"/>
          <w:b/>
          <w:bCs/>
          <w:sz w:val="28"/>
          <w:szCs w:val="28"/>
        </w:rPr>
        <w:t xml:space="preserve">и экологии области в 2025 году </w:t>
      </w:r>
    </w:p>
    <w:p w14:paraId="637B4869" w14:textId="77777777" w:rsidR="00B212F4" w:rsidRPr="00A82DBB" w:rsidRDefault="00B212F4" w:rsidP="00A82DBB">
      <w:pPr>
        <w:tabs>
          <w:tab w:val="left" w:pos="851"/>
        </w:tabs>
        <w:rPr>
          <w:rFonts w:ascii="PT Astra Serif" w:hAnsi="PT Astra Serif"/>
          <w:sz w:val="28"/>
          <w:szCs w:val="28"/>
        </w:rPr>
      </w:pPr>
    </w:p>
    <w:p w14:paraId="228C32BB"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В рамках реализации полномочий по осуществлению государственного управления в сфере охраны окружающей среды и лесного хозяйства министерством природных ресурсов и экологии области в 2025 году проведена следующая работа.</w:t>
      </w:r>
    </w:p>
    <w:p w14:paraId="7782E607" w14:textId="77777777" w:rsidR="003E79D8" w:rsidRPr="003E79D8" w:rsidRDefault="003E79D8" w:rsidP="003E79D8">
      <w:pPr>
        <w:tabs>
          <w:tab w:val="left" w:pos="851"/>
        </w:tabs>
        <w:rPr>
          <w:rFonts w:ascii="PT Astra Serif" w:hAnsi="PT Astra Serif"/>
          <w:sz w:val="28"/>
          <w:szCs w:val="28"/>
        </w:rPr>
      </w:pPr>
    </w:p>
    <w:p w14:paraId="73BFA04A"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Лесное хозяйство</w:t>
      </w:r>
    </w:p>
    <w:p w14:paraId="19751991"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В рамках реализации полномочий в области лесных отношений министерством природных ресурсов и экологии Саратовской области в 2025 году проведена следующая работа. </w:t>
      </w:r>
    </w:p>
    <w:p w14:paraId="3C628BB2" w14:textId="77777777" w:rsidR="003E79D8" w:rsidRPr="003E79D8" w:rsidRDefault="003E79D8" w:rsidP="003E79D8">
      <w:pPr>
        <w:tabs>
          <w:tab w:val="left" w:pos="851"/>
        </w:tabs>
        <w:rPr>
          <w:rFonts w:ascii="PT Astra Serif" w:hAnsi="PT Astra Serif"/>
          <w:sz w:val="28"/>
          <w:szCs w:val="28"/>
        </w:rPr>
      </w:pPr>
    </w:p>
    <w:p w14:paraId="2B95F219"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Воспроизводство лесов</w:t>
      </w:r>
    </w:p>
    <w:p w14:paraId="32757908"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Лесовосстановление и лесоразведение на территории Саратовской области в 2025 году проведено на площади 4000,5 га (факт 2024 г.– 3370,4 га). </w:t>
      </w:r>
    </w:p>
    <w:p w14:paraId="5FB0FA7A"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Посев семян в лесных питомниках в 2025 году проведен на площади –15,82 га, из них семенами сосны – 8,33 га, желудями дуба – 3,48 га, прочие лиственные – 4,01 га. Заготовлено семян 13 248,2 кг, в том числе 200 кг семян с улучшенными наследственными свойствами.</w:t>
      </w:r>
    </w:p>
    <w:p w14:paraId="2385FA9B"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В лесных питомниках области выращено 5,547 млн. шт. посадочного материала, в том числе Аткарском – 764,9 тыс. шт. (539,4 тыс. шт. сеянцы сосны обыкновенной, 225,5 тыс. шт. сеянцы ясеня), Балашовском – 565,6 тыс. шт. (500 тыс. шт. сеянцы сосны обыкновенной, 65,6 тыс. шт. сеянцы акации белой), Вольском – 63,5 тыс. шт. (сеянцы дуба), Вязовском – 632,4 тыс. шт. (611,4 тыс. шт. сеянцы сосны обыкновенной, 21 тыс. шт. сеянцы дуба), Красноармейском – 370 тыс. шт. (20 тыс. шт. сеянцы сосны </w:t>
      </w:r>
      <w:proofErr w:type="spellStart"/>
      <w:r w:rsidRPr="003E79D8">
        <w:rPr>
          <w:rFonts w:ascii="PT Astra Serif" w:hAnsi="PT Astra Serif"/>
          <w:sz w:val="28"/>
          <w:szCs w:val="28"/>
        </w:rPr>
        <w:t>ЗКС</w:t>
      </w:r>
      <w:proofErr w:type="spellEnd"/>
      <w:r w:rsidRPr="003E79D8">
        <w:rPr>
          <w:rFonts w:ascii="PT Astra Serif" w:hAnsi="PT Astra Serif"/>
          <w:sz w:val="28"/>
          <w:szCs w:val="28"/>
        </w:rPr>
        <w:t xml:space="preserve">, 150 тыс. шт. сеянцы дуба, 200 тыс. шт. сеянцы акации белой), Лысогорском – 193,7 тыс. шт. (сеянцы сосны обыкновенной – 160 тыс. шт., акации белой – 33,7 тыс. шт.), Макаровском – 557,6 тыс. шт. (419,6 тыс. шт. сеянцы сосны обыкновенной, в т.ч. 230 тыс. шт. с </w:t>
      </w:r>
      <w:proofErr w:type="spellStart"/>
      <w:r w:rsidRPr="003E79D8">
        <w:rPr>
          <w:rFonts w:ascii="PT Astra Serif" w:hAnsi="PT Astra Serif"/>
          <w:sz w:val="28"/>
          <w:szCs w:val="28"/>
        </w:rPr>
        <w:t>ЗКС</w:t>
      </w:r>
      <w:proofErr w:type="spellEnd"/>
      <w:r w:rsidRPr="003E79D8">
        <w:rPr>
          <w:rFonts w:ascii="PT Astra Serif" w:hAnsi="PT Astra Serif"/>
          <w:sz w:val="28"/>
          <w:szCs w:val="28"/>
        </w:rPr>
        <w:t>, 138 тыс. шт. сеянцы ясеня зеленого), Новобурасском – 1519,7 тыс. шт. (1515,1 тыс. шт. сеянцы сосны обыкновенной, 4,6 тыс. шт. сеянцы ясеня), Черкасском – 324,2 тыс. шт. (2,6 тыс. шт. сеянцы сосны обыкновенной, 38 тыс. шт. сеянцы ясеня зеленого, 13,8 тыс. шт. сеянцы дуба, 164 тыс. шт. сеянцы акации белой, 105,8 тыс. шт. кустарники), Ширококарамышском – 547 тыс. шт. (236 тыс. шт. сеянцы сосны обыкновенной, сеянцы акации белой 140 тыс. шт., 140 тыс. шт. сеянцы ясеня и 31 тыс. шт. сеянцы дуба) и Энгельсском – 8,8 тыс. шт. (5,0 тыс. шт. сеянцы дуба черешчатого, 3,5 тыс. шт. сеянцы вяза, 0,3 тыс. шт. сеянцы ясеня).</w:t>
      </w:r>
    </w:p>
    <w:p w14:paraId="65EBCF71"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В рамках реализации полномочий министерства отделом лесовосстановления, охраны и защиты лесов оказываются следующие государственные услуги в электронном виде: </w:t>
      </w:r>
    </w:p>
    <w:p w14:paraId="228218AA"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Прием отчетов об охране лесов от пожаров, отчетов о защите лесов, отчетов об охране лесов от загрязнения и иного негативного воздействия, отчетов о воспроизводстве лесов и лесоразведении; </w:t>
      </w:r>
    </w:p>
    <w:p w14:paraId="73F8F9D6"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Утверждение актов лесопатологического обследования; </w:t>
      </w:r>
    </w:p>
    <w:p w14:paraId="31957CE8"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Согласование проекта лесовосстановления и внесения в него изменений; </w:t>
      </w:r>
    </w:p>
    <w:p w14:paraId="4EE594FD"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lastRenderedPageBreak/>
        <w:t>Согласование проекта лесоразведения и внесения в него изменений.</w:t>
      </w:r>
    </w:p>
    <w:p w14:paraId="58919D67"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Государственные услуги оказываются в установленные сроки. Жалоб и обжалований на предоставленные услуги не поступало.</w:t>
      </w:r>
    </w:p>
    <w:p w14:paraId="65505D0B" w14:textId="77777777" w:rsidR="003E79D8" w:rsidRPr="003E79D8" w:rsidRDefault="003E79D8" w:rsidP="003E79D8">
      <w:pPr>
        <w:tabs>
          <w:tab w:val="left" w:pos="851"/>
        </w:tabs>
        <w:rPr>
          <w:rFonts w:ascii="PT Astra Serif" w:hAnsi="PT Astra Serif"/>
          <w:sz w:val="28"/>
          <w:szCs w:val="28"/>
        </w:rPr>
      </w:pPr>
    </w:p>
    <w:p w14:paraId="570E6D06"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Защита лесов</w:t>
      </w:r>
    </w:p>
    <w:p w14:paraId="5F796CF3"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В 2025 году лесопатологическое обследование проведено на площади 1739,5 га (646,5 га визуальным способом и 1 093,0 га инструментальным способом), из них 1 548,5 га в рамках госзаданий. На 2026 год запланировано проведение лесопатологического обследования на площади 1500,0 га. </w:t>
      </w:r>
    </w:p>
    <w:p w14:paraId="50558416"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Заключено 22 договора купли-продажи лесных насаждений на лесные участки общей площадью 1083,9326 га, с объёмом предоставленной древесины 42,214 тыс. куб. м. </w:t>
      </w:r>
    </w:p>
    <w:p w14:paraId="7BB929B6"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Для улучшения санитарного состояния лесов проведены санитарно-оздоровительные мероприятия на площади 939,2 га с общим объёмом заготовленной древесины 36,8 тыс. куб. м. </w:t>
      </w:r>
    </w:p>
    <w:p w14:paraId="098236A3"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На 2026 год запланировано проведение санитарных рубок на площади 482,0 га с общим объемом заготавливаемой древесины 17,7 тыс. куб.м., уборка неликвидной древесины на площади 149,7 га.</w:t>
      </w:r>
    </w:p>
    <w:p w14:paraId="6376C715"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Проведены рубки ухода на площади 372,32 га с объёмом заготовленной древесины 11,452 тыс. куб. м. На 2026 год запланировано проведение рубок ухода на площади 270,0519 га с выбираемым объемом 5,922 тыс. куб. м.</w:t>
      </w:r>
    </w:p>
    <w:p w14:paraId="5EC04F7D" w14:textId="77777777" w:rsidR="003E79D8" w:rsidRPr="003E79D8" w:rsidRDefault="003E79D8" w:rsidP="003E79D8">
      <w:pPr>
        <w:tabs>
          <w:tab w:val="left" w:pos="851"/>
        </w:tabs>
        <w:rPr>
          <w:rFonts w:ascii="PT Astra Serif" w:hAnsi="PT Astra Serif"/>
          <w:sz w:val="28"/>
          <w:szCs w:val="28"/>
        </w:rPr>
      </w:pPr>
    </w:p>
    <w:p w14:paraId="12B6469B"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Охрана лесов от пожаров</w:t>
      </w:r>
    </w:p>
    <w:p w14:paraId="75BF53C4"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Мероприятия по подготовке к пожароопасному сезону 2025 года выполнялись согласно Плану мероприятий по профилактике и борьбе с лесными пожарами и другими ландшафтными (природными) пожарами на землях лесного фонда в Саратовской области на 2025 год, утвержденному распоряжением Правительства области от 25.12.2024 года № 385-Пр.</w:t>
      </w:r>
    </w:p>
    <w:p w14:paraId="47FD6D87"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Постановлением Губернатора области от 19.03.2025 года № 64 был утвержден Сводный план тушения лесных пожаров на территории Саратовской области на период пожароопасного сезона 2025 года, а также разработаны и утверждены Планы тушения лесных пожаров по 25 лесничествам области.</w:t>
      </w:r>
    </w:p>
    <w:p w14:paraId="605FC076"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В целях своевременной подготовки к пожароопасному сезону 2025 года, проверки готовности сил и средств пожаротушения, отработки вопросов межрегионального взаимодействия при тушении лесных пожаров, предусмотренных Сводными планами тушения лесных пожаров, министерством природных ресурсов и экологии области с 24-25 марта были проведены командно-штабные учения по отработке вопросов взаимодействия при тушении лесных пожаров с участием муниципальных районов области, лесохозяйственных учреждений Саратовской, Пензенской и Ульяновской областей, а также сил и средств пожаротушения военных лесничеств и Национального парка «Хвалынский». </w:t>
      </w:r>
    </w:p>
    <w:p w14:paraId="546768B3"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В 2025 году по условиям погоды пожароопасный сезон в лесах области проходил с 24 марта 2025 года по 31 октября.</w:t>
      </w:r>
    </w:p>
    <w:p w14:paraId="1E288235"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Особый противопожарный режим на землях лесного фонда вводился постановлением Правительства Саратовской области от 18.04.2025 года </w:t>
      </w:r>
    </w:p>
    <w:p w14:paraId="1317E34E"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lastRenderedPageBreak/>
        <w:t>№ 340 - П с 18 апреля по 31 октября. Режим ограничения пребывания граждан в лесах по условиям погоды в пожароопасном сезоне четыре раза вводился приказами министерства природных ресурсов и экологии области на территории земель лесного фонда сроком на 21 календарный день.</w:t>
      </w:r>
    </w:p>
    <w:p w14:paraId="1677D5B8"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В целях охраны лесов от пожаров обеспечена организация, содержание и оснащение 25 мобилизационных групп по тушению лесных пожаров в лесохозяйственных учреждениях области, подготовка нормативной документации, содержание оборудования в постоянной готовности, организация работы диспетчерских служб.</w:t>
      </w:r>
    </w:p>
    <w:p w14:paraId="0E4EB808"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В течение пожароопасного сезона в 2025 году на землях лесного фонда произошло 63 лесных пожара на общей площади 813,3 га. Всего ущерб от лесных пожаров лесному фонду составил- 10092,339 тыс. рублей, затраты на тушение - 1922,67 тыс. рублей. Также, 1 лесной пожар произошёл на землях Министерства обороны РФ на площади 681 га. </w:t>
      </w:r>
    </w:p>
    <w:p w14:paraId="7CF6C99E"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Государственные задания по охране, защите и воспроизводству лесов на 2025 год были выполнены в полном объеме. В том числе: подготовлено 23 лесопожарных станции (далее -</w:t>
      </w:r>
      <w:proofErr w:type="spellStart"/>
      <w:r w:rsidRPr="003E79D8">
        <w:rPr>
          <w:rFonts w:ascii="PT Astra Serif" w:hAnsi="PT Astra Serif"/>
          <w:sz w:val="28"/>
          <w:szCs w:val="28"/>
        </w:rPr>
        <w:t>ЛПС</w:t>
      </w:r>
      <w:proofErr w:type="spellEnd"/>
      <w:r w:rsidRPr="003E79D8">
        <w:rPr>
          <w:rFonts w:ascii="PT Astra Serif" w:hAnsi="PT Astra Serif"/>
          <w:sz w:val="28"/>
          <w:szCs w:val="28"/>
        </w:rPr>
        <w:t xml:space="preserve">), из них 21 </w:t>
      </w:r>
      <w:proofErr w:type="spellStart"/>
      <w:r w:rsidRPr="003E79D8">
        <w:rPr>
          <w:rFonts w:ascii="PT Astra Serif" w:hAnsi="PT Astra Serif"/>
          <w:sz w:val="28"/>
          <w:szCs w:val="28"/>
        </w:rPr>
        <w:t>ЛПС</w:t>
      </w:r>
      <w:proofErr w:type="spellEnd"/>
      <w:r w:rsidRPr="003E79D8">
        <w:rPr>
          <w:rFonts w:ascii="PT Astra Serif" w:hAnsi="PT Astra Serif"/>
          <w:sz w:val="28"/>
          <w:szCs w:val="28"/>
        </w:rPr>
        <w:t xml:space="preserve"> 1-го типа и 2 </w:t>
      </w:r>
      <w:proofErr w:type="spellStart"/>
      <w:r w:rsidRPr="003E79D8">
        <w:rPr>
          <w:rFonts w:ascii="PT Astra Serif" w:hAnsi="PT Astra Serif"/>
          <w:sz w:val="28"/>
          <w:szCs w:val="28"/>
        </w:rPr>
        <w:t>ЛПС</w:t>
      </w:r>
      <w:proofErr w:type="spellEnd"/>
      <w:r w:rsidRPr="003E79D8">
        <w:rPr>
          <w:rFonts w:ascii="PT Astra Serif" w:hAnsi="PT Astra Serif"/>
          <w:sz w:val="28"/>
          <w:szCs w:val="28"/>
        </w:rPr>
        <w:t xml:space="preserve"> 2-го типа; создано 2818,5 км противопожарных минполос; проведены уходы за ними – 20000 км; проведена эксплуатация 279,5 км дорог; установлено 218 аншлагов по лесоохраной тематике; проведена эксплуатация 71 пожарного водоема; установлен 121 шлагбаум; благоустроено 135 мест отдыха.</w:t>
      </w:r>
    </w:p>
    <w:p w14:paraId="22A1B3E0"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В 2026 году запланировано выполнение противопожарных мероприятий в объеме: эксплуатация лесных дорог противопожарного назначения 140,4 км; устройство противопожарных минерализованных полос 2716,3 км; прочистка противопожарных минерализованных полос 19650 км; благоустройство зон отдыха граждан пребывающих в лесах 83 шт.; установка шлагбаумов – 85 шт.</w:t>
      </w:r>
    </w:p>
    <w:p w14:paraId="307E6D6B"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В целях пропаганды бережного отношения к лесу среди населения в 2025 году в электронных изданиях, печатных СМИ, социальных сетях размещено 1 250 статей, проведены трансляции 277 видеороликов на телевидении, а также более 1 тысячи аудиороликов на радио, роздано более 13 тысяч листовок.</w:t>
      </w:r>
    </w:p>
    <w:p w14:paraId="7D3881ED" w14:textId="77777777" w:rsidR="003E79D8" w:rsidRPr="003E79D8" w:rsidRDefault="003E79D8" w:rsidP="003E79D8">
      <w:pPr>
        <w:tabs>
          <w:tab w:val="left" w:pos="851"/>
        </w:tabs>
        <w:rPr>
          <w:rFonts w:ascii="PT Astra Serif" w:hAnsi="PT Astra Serif"/>
          <w:sz w:val="28"/>
          <w:szCs w:val="28"/>
        </w:rPr>
      </w:pPr>
    </w:p>
    <w:p w14:paraId="7BDD5C0D"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Федеральный государственный лесной контроль (надзор) и лесная охрана</w:t>
      </w:r>
    </w:p>
    <w:p w14:paraId="762161C5"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В 2022 году постановлением Правительства РФ от 10.03.2022 года № 336 «Об особенностях организации и осуществления государственного контроля (надзора), муниципального контроля» введен мораторий на проведение плановых контрольно-надзорных мероприятий, в том числе проверок. В связи с этим, основным механизмом реализации полномочий в рамках федерального государственного лесного контроля (надзора) является организация профилактических мероприятий.</w:t>
      </w:r>
    </w:p>
    <w:p w14:paraId="79B0B6ED"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В рамках проведения профилактических мероприятий в 2025 году:</w:t>
      </w:r>
    </w:p>
    <w:p w14:paraId="0B66A5C0"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объявлено 136 предостережений о недопустимости нарушений обязательных требований;</w:t>
      </w:r>
    </w:p>
    <w:p w14:paraId="7BF16FC4"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проведено 9 профилактических визитов;</w:t>
      </w:r>
    </w:p>
    <w:p w14:paraId="7859BB2B"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даны 154 консультации.</w:t>
      </w:r>
    </w:p>
    <w:p w14:paraId="256E6253"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Специалистами лесного хозяйства проводятся профилактические мероприятия по недопущению нарушений лесного законодательства, такие как </w:t>
      </w:r>
      <w:r w:rsidRPr="003E79D8">
        <w:rPr>
          <w:rFonts w:ascii="PT Astra Serif" w:hAnsi="PT Astra Serif"/>
          <w:sz w:val="28"/>
          <w:szCs w:val="28"/>
        </w:rPr>
        <w:lastRenderedPageBreak/>
        <w:t xml:space="preserve">беседы, лекции с населением, раздача листовок, памяток, выступления на сходах граждан и другие. </w:t>
      </w:r>
    </w:p>
    <w:p w14:paraId="16BECDD1"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За 2025 год в рамках патрулирования лесов, на сходах граждан роздано 13004 листовки противопожарного направления, проведено 1907 бесед, лекций с населением по вопросам необходимости соблюдения лесного законодательства, установлено 218 противопожарных аншлагов в лесах.</w:t>
      </w:r>
    </w:p>
    <w:p w14:paraId="30EA7F3A"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В 2025 году активно проводилась работа, направленная на предупреждение, выявление и пресечение нарушений лесного законодательства. В рамках лесной охраны государственными лесными инспекторами проведено 11976 патрулирований в лесах (АППГ - 11829), что составляет 110% от установленного годового количества патрулирований. На 2026 год запланировано 10870 патрулирований.</w:t>
      </w:r>
    </w:p>
    <w:p w14:paraId="2F1FA5AB"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В рамках государственного лесного (контроля) надзора и лесной охраны в 2025 году выявлено 134 лесонарушений (в 2024 г. - 173), по 110 нарушениям (с учетом преходящих материалов за прошлый год) виновные лица привлечены к административной ответственности. Сумма наложенных штрафов за нарушение лесного законодательства составила 1209,1 тыс. рублей, из которых взыскано 1142,2 тыс. рублей (с учетом преходящих штрафов за прошлый год). По неоплаченной сумме штрафов материалы направлены в Федеральную службу судебных приставов для принудительного взыскания. </w:t>
      </w:r>
    </w:p>
    <w:p w14:paraId="6C23638A"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В 2025 году на территории Саратовской области выявлено 38 случаев незаконных рубок лесных насаждений, общий объем вырубленной древесины – 241,02 куб. м (за аналогичный период 2024 г. - 33 случая, общий объем вырубленной древесины- 491,9 куб. м). Сумма причинённого ущерба составила 9,3 млн. рублей (за аналогичный период 2024 г. - 26,5 млн. рублей). К административной ответственности по ст. 8.28 КоАП РФ привлечено 13 лиц. </w:t>
      </w:r>
    </w:p>
    <w:p w14:paraId="24AE9DD8"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Отмечается положительная динамика в сфере противодействия незаконным рубкам. Сумма ущерба и объем значительно снизились по сравнению с аналогичным периодом 2024 года. На положительную динамику снижения объема и ущерба, оказало влияние увеличение количества патрулирований на участках с высокой рекреационной нагрузкой и предполагаемых местах совершения незаконных рубок, профилактическая работа, организованные министерством, а также эффективное межведомственное взаимодействие с правоохранительными органами. </w:t>
      </w:r>
    </w:p>
    <w:p w14:paraId="59EA32EC"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В правоохранительные органы направлено 23 материала по нарушениям, содержащим признаки уголовного преступления, предусмотренного ст. 260 УК РФ, объем составил – 224,37 куб. м, ущерб – 9,1 млн. рублей, из них:</w:t>
      </w:r>
    </w:p>
    <w:p w14:paraId="08B05E35"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возбуждено 5 уголовных дел (привлечено 2 лица);</w:t>
      </w:r>
    </w:p>
    <w:p w14:paraId="711ABBE4"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- 18 материалов находятся на рассмотрении.</w:t>
      </w:r>
    </w:p>
    <w:p w14:paraId="29A71337"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С целью возмещения ущерба, причиненного лесам вследствие нарушений лесного законодательства, предъявлено 5 исков, из них удовлетворено 4 иска на общую сумму 3974 тыс.рублей. Также, в 2025 году вступили в силу решения суда по которым было взыскано 7,718 тыс. рублей. </w:t>
      </w:r>
    </w:p>
    <w:p w14:paraId="0998E25A"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Возмещено ущерба в добровольном и принудительном порядке на сумму 894,3 тыс. рублей. По невзысканной сумме ущерба ведется работа по принудительному взысканию Федеральной службой судебных приставов.</w:t>
      </w:r>
    </w:p>
    <w:p w14:paraId="4930411B"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lastRenderedPageBreak/>
        <w:t>На территории Саратовской области ежегодно в период с августа по ноябрь проводится межведомственная оперативно-профилактическая акция «Лесовоз». Данная акция проводится с целью обеспечения межведомственного взаимодействия по выявлению и пресечению нарушений лесного законодательства, в том числе в сфере оборота и транспортировки древесины. В предновогодние праздники, в связи с увеличением вероятности незаконных рубок на территории Саратовской области, ежегодно вводится режим усиленной охраны хвойных насаждений, в особенности молодняков.</w:t>
      </w:r>
    </w:p>
    <w:p w14:paraId="5B3E7B4E"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В рамках гражданско-правовых отношений, проведена оценка готовности пунктов сосредоточения противопожарного инвентаря к пожароопасному сезону на всех 669 лесных участках, переданных в аренду, по результатам которой было объявлено 55 предостережений о недопустимости нарушений обязательных требований правил пожарной безопасности в лесах.</w:t>
      </w:r>
    </w:p>
    <w:p w14:paraId="070D38A7"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Министерством на постоянной основе проводится работа по включению лесов, расположенных на землях населенных пунктов, в состав лесопарковых зеленых поясов. </w:t>
      </w:r>
    </w:p>
    <w:p w14:paraId="214325ED" w14:textId="77777777" w:rsidR="003E79D8" w:rsidRPr="003E79D8" w:rsidRDefault="003E79D8" w:rsidP="003E79D8">
      <w:pPr>
        <w:tabs>
          <w:tab w:val="left" w:pos="851"/>
        </w:tabs>
        <w:rPr>
          <w:rFonts w:ascii="PT Astra Serif" w:hAnsi="PT Astra Serif"/>
          <w:sz w:val="28"/>
          <w:szCs w:val="28"/>
        </w:rPr>
      </w:pPr>
    </w:p>
    <w:p w14:paraId="2812C4F9"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Использование лесов</w:t>
      </w:r>
    </w:p>
    <w:p w14:paraId="731B500F"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Всего на территории лесного фонда Саратовской области на 31.12.2025 года действует 608 договоров аренды лесных участков (в 2024 г. – 592), 1 договор безвозмездного пользования, 55 лесных участков предоставлены государственным и муниципальным учреждениям на праве постоянного (бессрочного) пользования (в 2024 г. - 54), 19 лесных участков используются на праве публичного сервитута, на общей площади 20,4 тыс. га (в 2024 г. - 19,9 га).</w:t>
      </w:r>
    </w:p>
    <w:p w14:paraId="79DB33DA"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За 2025 год предоставлено в пользование:</w:t>
      </w:r>
    </w:p>
    <w:p w14:paraId="69611B51"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на правах аренды - 41 договор (в 2024 г. - 31) на общей площади 846,6681 га (в 2024 г. - 260,4263 га), из них:</w:t>
      </w:r>
    </w:p>
    <w:p w14:paraId="4D61ECA2"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2 договора – для заготовки пищевых лесных ресурсов и сбора лекарственных растений, площадью 218,0891 га;</w:t>
      </w:r>
    </w:p>
    <w:p w14:paraId="40BFE682"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2 договора - для осуществления видов деятельности в сфере охотничьего хозяйства, площадью 274,0265 га;</w:t>
      </w:r>
    </w:p>
    <w:p w14:paraId="1CFAD309"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4 договора - для ведения сельского хозяйства, площадью 256,7175 га;</w:t>
      </w:r>
    </w:p>
    <w:p w14:paraId="5D7EB086"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25 договоров - для осуществления рекреационной деятельности в целях организации мест отдыха (туристические базы) на площади 86,7776 га (в 2024 г. - 45,8884 га);</w:t>
      </w:r>
    </w:p>
    <w:p w14:paraId="6046DD9E"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1 договор – для выращивания лесных плодовых, ягодных, декоративных растений, лекарственных растений, площадью 4,3804 га;</w:t>
      </w:r>
    </w:p>
    <w:p w14:paraId="19B0E78B"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1 договор - для осуществления геологического изучения недр, разведки и добычи полезных ископаемых, площадью 4,6902 га;</w:t>
      </w:r>
    </w:p>
    <w:p w14:paraId="32AF7D9D"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1 договор – для строительства и эксплуатации водохранилищ и иных искусственных водных объектов, создания и расширения морских и речных портов, строительства, реконструкции и эксплуатации гидротехнических сооружений, площадью 0,0152 га;</w:t>
      </w:r>
    </w:p>
    <w:p w14:paraId="1172B9C5"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5 договоров - для размещения линейных, площадью 1,9716 га.</w:t>
      </w:r>
    </w:p>
    <w:p w14:paraId="794D63D9"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Выдано 39 распоряжений на использование лесных участков без предоставления лесных участков, установления сервитута, публичного </w:t>
      </w:r>
      <w:r w:rsidRPr="003E79D8">
        <w:rPr>
          <w:rFonts w:ascii="PT Astra Serif" w:hAnsi="PT Astra Serif"/>
          <w:sz w:val="28"/>
          <w:szCs w:val="28"/>
        </w:rPr>
        <w:lastRenderedPageBreak/>
        <w:t>сервитута для строительства, реконструкции, эксплуатации линейных объектов (в 2024 г. - 15) на общей площади 26,0283 га (в 2024 г. – 36,3412 га).</w:t>
      </w:r>
    </w:p>
    <w:p w14:paraId="28FC7F42"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На праве постоянного (бессрочного) пользования предоставлено 2 лесных участка (в 2024 г. - 8) общей площадью 3,3706 га (в 2024 г. – 47,1907 га).</w:t>
      </w:r>
    </w:p>
    <w:p w14:paraId="79AAD187"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В безвозмездное пользование предоставлен 1 лесной участок площадью 2,3721 га.</w:t>
      </w:r>
    </w:p>
    <w:p w14:paraId="29351DFB"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На 2025 год был разработан план по проведению аукционов по продаже права на заключение договоров аренды лесных участков с целью выполнения плана по доходам в федеральный бюджет. Было проведено 20 аукционов по продаже права на заключение договора аренды лесного участка (в 2024 г. - 14), выставлено 33 лота (лесных участков) (в 2024 г. - 39), общей площадью 921,2 га (в 2024 г. -468). План по выставлению на аукцион был перевыполнен более чем в 10 раз, что позволило исполнить план по доходам в федеральный бюджет по аренде более чем на 100 %.</w:t>
      </w:r>
    </w:p>
    <w:p w14:paraId="75CBFC6C"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В 2025 году в экспертную комиссию министерства поступило 157 заявлений на оказание государственной услуги по проведению государственной экспертизы проектов освоения лесов (в 2024 г. - 109). Выдано 124 положительных заключений государственной экспертизы на проекты освоения лесов (в 2024 г. - 96), 33 проекта освоения лесов возращены лесопользователям с письменными замечаниями экспертов на доработку (в 2024 г. - 10).</w:t>
      </w:r>
    </w:p>
    <w:p w14:paraId="2D9FBE10"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В министерство поступило 896 лесных деклараций (в 2024 г. - 679), из них 661 деклараций принято (в 2024 г. - 477), 135 деклараций возвращены лесопользователям с замечаниями (в 2024 г. - 179).</w:t>
      </w:r>
    </w:p>
    <w:p w14:paraId="644B24FB"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Произведен перерасчет арендной платы по 105 договорам аренды лесных участков, в связи с внесенными изменениями в законодательство (по линейным объектам, прудам, геологии, охоте), по 25 договорам аренды лесных участков по результатам проверки Рослесхоза.</w:t>
      </w:r>
    </w:p>
    <w:p w14:paraId="31D6A1BA"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По 45 договорам аренды лесных участков проведена работа по выдаче согласия министерства на сделки с арендными правами и лесными участками (субаренда, залог) (в 2024 г. - 34).</w:t>
      </w:r>
    </w:p>
    <w:p w14:paraId="12072FAB"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Было отредактировано более 300 договоров и прав пользования в ФГИС ЛК.</w:t>
      </w:r>
    </w:p>
    <w:p w14:paraId="38BC7775"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В рамках реализации полномочий министерства отделом использования лесов и государственной экспертизы оказываются следующие государственные услуги: </w:t>
      </w:r>
    </w:p>
    <w:p w14:paraId="313F9028"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Предоставление лесных участков, расположенных в границах земель лесного фонда, в постоянное (бессрочное) пользование;</w:t>
      </w:r>
    </w:p>
    <w:p w14:paraId="6E8A2166"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Предоставление лесных участков, расположенных в границах земель лесного фонда, в безвозмездное пользование без проведения торгов;</w:t>
      </w:r>
    </w:p>
    <w:p w14:paraId="44304236"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Предоставление лесных участков, расположенных в границах земель лесного фонда, в аренду;</w:t>
      </w:r>
    </w:p>
    <w:p w14:paraId="0A68EAB6"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Заключение договоров купли-продажи лесных насаждений, расположенных на землях лесного фонда, гражданами для собственных нужд без проведения торгов;</w:t>
      </w:r>
    </w:p>
    <w:p w14:paraId="7600FA77"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Выдача разрешений на геологическое изучение недр на землях лесного фонда без предоставления лесного участка, установления сервитута, если </w:t>
      </w:r>
      <w:r w:rsidRPr="003E79D8">
        <w:rPr>
          <w:rFonts w:ascii="PT Astra Serif" w:hAnsi="PT Astra Serif"/>
          <w:sz w:val="28"/>
          <w:szCs w:val="28"/>
        </w:rPr>
        <w:lastRenderedPageBreak/>
        <w:t>выполнение работ в указанных целях не влечет за собой проведение рубок лесных насаждений или строительство объектов капитального строительства;</w:t>
      </w:r>
    </w:p>
    <w:p w14:paraId="1E95A9D5"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Приём лесных деклараций и отчетов об использовании лесов от граждан, юридических лиц, осуществляющих использование лесов;</w:t>
      </w:r>
    </w:p>
    <w:p w14:paraId="6EA11AEE"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Проведение государственной экспертизы проектов освоения лесов, расположенных на землях лесного фонда.</w:t>
      </w:r>
    </w:p>
    <w:p w14:paraId="35931266"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Государственные услуги оказываются в установленные сроки. Жалоб и обжалований на предоставленные услуги не поступало.</w:t>
      </w:r>
    </w:p>
    <w:p w14:paraId="6635A94C" w14:textId="77777777" w:rsidR="003E79D8" w:rsidRPr="003E79D8" w:rsidRDefault="003E79D8" w:rsidP="003E79D8">
      <w:pPr>
        <w:tabs>
          <w:tab w:val="left" w:pos="851"/>
        </w:tabs>
        <w:rPr>
          <w:rFonts w:ascii="PT Astra Serif" w:hAnsi="PT Astra Serif"/>
          <w:sz w:val="28"/>
          <w:szCs w:val="28"/>
        </w:rPr>
      </w:pPr>
    </w:p>
    <w:p w14:paraId="33ACA512"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Государственный лесной реестр</w:t>
      </w:r>
    </w:p>
    <w:p w14:paraId="014582ED"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В целях решения вопросов, связанных с приведением в соответствие сведений Единого государственного реестра недвижимости (далее-ЕГРН) и Государственного лесного реестра (далее - </w:t>
      </w:r>
      <w:proofErr w:type="spellStart"/>
      <w:r w:rsidRPr="003E79D8">
        <w:rPr>
          <w:rFonts w:ascii="PT Astra Serif" w:hAnsi="PT Astra Serif"/>
          <w:sz w:val="28"/>
          <w:szCs w:val="28"/>
        </w:rPr>
        <w:t>ГЛР</w:t>
      </w:r>
      <w:proofErr w:type="spellEnd"/>
      <w:r w:rsidRPr="003E79D8">
        <w:rPr>
          <w:rFonts w:ascii="PT Astra Serif" w:hAnsi="PT Astra Serif"/>
          <w:sz w:val="28"/>
          <w:szCs w:val="28"/>
        </w:rPr>
        <w:t xml:space="preserve">), с учетом применения положений Федерального закона от 29.07.2017 года № 280-ФЗ «О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 приказом министерства природных ресурсов и экологии области от 24.02.2021 года № 62 создана межведомственная рабочая группа по решению вопросов, связанных с приведением в соответствие сведений ЕГРН и </w:t>
      </w:r>
      <w:proofErr w:type="spellStart"/>
      <w:r w:rsidRPr="003E79D8">
        <w:rPr>
          <w:rFonts w:ascii="PT Astra Serif" w:hAnsi="PT Astra Serif"/>
          <w:sz w:val="28"/>
          <w:szCs w:val="28"/>
        </w:rPr>
        <w:t>ГЛР</w:t>
      </w:r>
      <w:proofErr w:type="spellEnd"/>
      <w:r w:rsidRPr="003E79D8">
        <w:rPr>
          <w:rFonts w:ascii="PT Astra Serif" w:hAnsi="PT Astra Serif"/>
          <w:sz w:val="28"/>
          <w:szCs w:val="28"/>
        </w:rPr>
        <w:t xml:space="preserve"> (далее - рабочая группа). В состав рабочей группы входят представители Управления Росреестра по Саратовской области, ФГБУ «Федеральная кадастровая палата Федеральной службы государственной регистрации, кадастра и картографии», ТУ Росимущества в Саратовской области, Управления Россельхознадзора по Саратовской и Самарской областям, министерства природных ресурсов и экологии Саратовской области. </w:t>
      </w:r>
    </w:p>
    <w:p w14:paraId="62BC7A57"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За 2025 год рабочей группой рассмотрены материалы по 1671 земельному участку, что составляет 100 % от общего количества выявленных земельных участков, имеющих пересечение с землями лесного фонда, из которых 809 соответствуют нормам Федерального закона от 29.07.2017 года № 280-ФЗ. Общее количество рассмотренных земельных участков за весь период действия Федерального закона от 29.07.2017 года № 280-ФЗ составляет 33301 участков, в том числе 22211 земельных участка исключено из состава земель лесного фонда, согласно актам об изменении документированной информации Государственного лесного реестра. В отношении 2553 земельным участкам проводятся мероприятия по защите имущественных интересов.</w:t>
      </w:r>
    </w:p>
    <w:p w14:paraId="73AE36F1"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На 31.12.2025 года площадь лесных участков и лесничеств, сведения о которых внесены в ЕГРН, составляет 648,5 тыс. га (100 % от общей площади земель лесного фонда).</w:t>
      </w:r>
    </w:p>
    <w:p w14:paraId="7D7EB0F6"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Сведения о границах всех 25 лесничеств области внесены в Федеральную государственную информационную систему лесного комплекса (далее – ФГИС ЛК).</w:t>
      </w:r>
    </w:p>
    <w:p w14:paraId="0057BF7D"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В 2025 году была осуществлена постановка на государственный кадастровый учет земельных участков, возможных для перевода из земель сельскохозяйственного назначения в земли лесного фонда, общей площадью 359,9 га.</w:t>
      </w:r>
    </w:p>
    <w:p w14:paraId="4159C419"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lastRenderedPageBreak/>
        <w:t xml:space="preserve">В целях предоставления в пользование лесных участков министерством в 2025 году рассмотрены проектные документации лесных участков в количестве 71 шт. Во исполнение Федерального закона от 25.10.2001 года № 137-ФЗ «О введении в действие Земельного кодекса Российской Федерации» рассмотрено 688 схем расположения земельных участков или земельных участков на кадастровом плане территории. Рассмотрены 11 документаций по планировке территории для размещения линейных объектов федерального и регионального значения. </w:t>
      </w:r>
    </w:p>
    <w:p w14:paraId="2BC4DAF0"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Приоритетными задачами министерства природных ресурсов и экологии области в области лесных отношений в 2026 году являются:</w:t>
      </w:r>
    </w:p>
    <w:p w14:paraId="3A0FE19C"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Обеспечение контроля за качественным выполнением всех видов работ по охране, защите и воспроизводству лесов в соответствии с выданными государственными заданиями, с соблюдением технических условий и сроков их выполнения;</w:t>
      </w:r>
    </w:p>
    <w:p w14:paraId="0E4EEEE6"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Увеличение объемов выращивания посадочного материала;</w:t>
      </w:r>
    </w:p>
    <w:p w14:paraId="052F9D23"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Активизация мероприятий по переводу невостребованных земель сельскохозяйственного назначения в лесной фонд области;</w:t>
      </w:r>
    </w:p>
    <w:p w14:paraId="0EAC084E"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Обеспечение закупки лесопожарной техники в рамках национального проекта «Сохранение лесов»;</w:t>
      </w:r>
    </w:p>
    <w:p w14:paraId="78C761D6"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Активизация исполнения функций по федеральному государственному лесному контролю (надзору) и лесной охране, направленным на предупреждение нарушений;</w:t>
      </w:r>
    </w:p>
    <w:p w14:paraId="14015637"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Активизация функций по проведению электронных и открытых аукционов по продаже права на заключение договора аренды лесного участка, договора купли-продажи лесных насаждений для субъектов малого и среднего предпринимательства; предоставлению лесных участков в аренду без проведения аукциона, сервитута; заключению договоров купли-продажи лесных насаждений для собственных нужд граждан в целях ремонта и строительства жилых и нежилых помещений;</w:t>
      </w:r>
    </w:p>
    <w:p w14:paraId="12553F0B"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Активизация работ по оцифровке материалов лесоустройства лесничеств области;</w:t>
      </w:r>
    </w:p>
    <w:p w14:paraId="6B605246"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Активизация мероприятий по выявлению и пресечению фактов ограничения доступа граждан на лесные участки, прилегающие к реке Волге.</w:t>
      </w:r>
    </w:p>
    <w:p w14:paraId="694139FE"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Активизация работы по проведению пропаганды среди населения по вопросам необходимости соблюдения правил пожарной безопасности в лесах, по предупреждению возникновения лесных пожаров и разъяснения гражданам действий при обнаружении лесных пожаров;</w:t>
      </w:r>
    </w:p>
    <w:p w14:paraId="065ABB24"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Обеспечение выполнения запланированного Лесным планом объема воспроизводства лесов;</w:t>
      </w:r>
    </w:p>
    <w:p w14:paraId="61C9FCD6"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Активизация функций по проведению электронных и открытых аукционов по продаже права на заключение договора аренды лесного участка, договора купли–продажи лесных насаждений для субъектов малого и среднего предпринимательства; предоставлению лесных участков в аренду без проведения аукциона; заключению договоров купли–продажи лесных насаждений для собственных нужд граждан;</w:t>
      </w:r>
    </w:p>
    <w:p w14:paraId="1CF596C1"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Качественное и своевременное оказание государственных услуг.</w:t>
      </w:r>
    </w:p>
    <w:p w14:paraId="14A52B01" w14:textId="77777777" w:rsidR="003E79D8" w:rsidRPr="003E79D8" w:rsidRDefault="003E79D8" w:rsidP="003E79D8">
      <w:pPr>
        <w:tabs>
          <w:tab w:val="left" w:pos="851"/>
        </w:tabs>
        <w:rPr>
          <w:rFonts w:ascii="PT Astra Serif" w:hAnsi="PT Astra Serif"/>
          <w:sz w:val="28"/>
          <w:szCs w:val="28"/>
        </w:rPr>
      </w:pPr>
    </w:p>
    <w:p w14:paraId="1F6F8461"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lastRenderedPageBreak/>
        <w:t>Водные ресурсы</w:t>
      </w:r>
    </w:p>
    <w:p w14:paraId="14364DDD"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За счет субвенций федерального бюджета, предоставляемых Саратовской области по государственной программе «Воспроизводство и использование природных ресурсов», в 2025 году министерство приступило к расчистке и дноуглублению русла реки </w:t>
      </w:r>
      <w:proofErr w:type="spellStart"/>
      <w:r w:rsidRPr="003E79D8">
        <w:rPr>
          <w:rFonts w:ascii="PT Astra Serif" w:hAnsi="PT Astra Serif"/>
          <w:sz w:val="28"/>
          <w:szCs w:val="28"/>
        </w:rPr>
        <w:t>Аткара</w:t>
      </w:r>
      <w:proofErr w:type="spellEnd"/>
      <w:r w:rsidRPr="003E79D8">
        <w:rPr>
          <w:rFonts w:ascii="PT Astra Serif" w:hAnsi="PT Astra Serif"/>
          <w:sz w:val="28"/>
          <w:szCs w:val="28"/>
        </w:rPr>
        <w:t xml:space="preserve"> в г. Аткарске, направленной на снижение негативного воздействия вод. Срок реализации проекта - 4 года (2025-2028 гг.). Общая сумма финансирования 87,7 млн. рублей. Протяженность расчищаемого участка русла 4,3 км. В 2025 году выполнены подготовительные работы, а также расчищен участок русла протяженностью более 1,6 км на сумму 27,4 млн. рублей. </w:t>
      </w:r>
    </w:p>
    <w:p w14:paraId="0255DBD9"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В течении 2025 года отделом оказывались следующие государственные услуги:</w:t>
      </w:r>
    </w:p>
    <w:p w14:paraId="32DFCF07"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1. Предоставление водных объектов или их частей, находящихся в федеральной собственности и расположенных на территориях субъектов Российской Федерации, в пользование на основании договоров водопользования;</w:t>
      </w:r>
    </w:p>
    <w:p w14:paraId="4F16060D"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2. Предоставление водных объектов или их частей, находящихся в федеральной собственности и расположенных на территории области (за исключением случаев, установленных федеральным законодательством), а также находящихся в государственной собственности области, в пользование на основании решений о предоставлении водных объектов в пользование;</w:t>
      </w:r>
    </w:p>
    <w:p w14:paraId="1AF30EA5"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3. Согласование расчета вероятного вреда, который может быть причинен в результате аварии гидротехнического сооружения.</w:t>
      </w:r>
    </w:p>
    <w:p w14:paraId="79859552"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Государственные услуги оказываются в установленные сроки. Жалоб и обжалований на предоставленные услуги не поступало.</w:t>
      </w:r>
    </w:p>
    <w:p w14:paraId="14BE72A3"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В 2025 году в рамках оказания государственных услуг отделом водных ресурсов министерства:</w:t>
      </w:r>
    </w:p>
    <w:p w14:paraId="694096D4"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направлено на государственную регистрацию в государственный водный реестр 23 договора водопользования, в т.ч. 4, заключенных по результатам аукционов, проведенных министерством;</w:t>
      </w:r>
    </w:p>
    <w:p w14:paraId="6DE72505"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принято 28 решений о предоставлении водного объекта в пользование;</w:t>
      </w:r>
    </w:p>
    <w:p w14:paraId="57842122"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согласован 31 расчет вероятного вреда, который может быть причинен в результате аварии гидротехнического сооружения.</w:t>
      </w:r>
    </w:p>
    <w:p w14:paraId="02F7F9FC"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На 2026 год министерством в рамках осуществления мер по защите от негативного воздействия вод, находящихся в федеральной собственности и расположенных на территории Саратовской области запланировано продолжение работ по расчистке реки </w:t>
      </w:r>
      <w:proofErr w:type="spellStart"/>
      <w:r w:rsidRPr="003E79D8">
        <w:rPr>
          <w:rFonts w:ascii="PT Astra Serif" w:hAnsi="PT Astra Serif"/>
          <w:sz w:val="28"/>
          <w:szCs w:val="28"/>
        </w:rPr>
        <w:t>Аткара</w:t>
      </w:r>
      <w:proofErr w:type="spellEnd"/>
      <w:r w:rsidRPr="003E79D8">
        <w:rPr>
          <w:rFonts w:ascii="PT Astra Serif" w:hAnsi="PT Astra Serif"/>
          <w:sz w:val="28"/>
          <w:szCs w:val="28"/>
        </w:rPr>
        <w:t xml:space="preserve"> в г. Аткарске. Объем финансирования 2026 года – 23,4 млн. рублей. На эту сумму планируется выполнить работы на участке русла водного объекта протяженностью около 1 км.</w:t>
      </w:r>
    </w:p>
    <w:p w14:paraId="7E3DE9D9"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В рамках регионального проекта «Вода России» будут продолжены работы по расчистке реки Хопер в г. Балашове общей протяженностью 4,4 км. Проведение работ по расчистке русла реки улучшит экологическое состояние реки, а также условия проживания 78000 жителей г. Балашова. На реализацию мероприятия в 2026 году предусмотрены субвенции федерального бюджета в сумме 34,9 млн. рублей.</w:t>
      </w:r>
    </w:p>
    <w:p w14:paraId="2841179B"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lastRenderedPageBreak/>
        <w:t xml:space="preserve">До начала производства работ необходимо произвести корректировку проектно-сметной документации, которую планируется выполнить за счет средств областного бюджета в сумме 2,8 млн. рублей. </w:t>
      </w:r>
    </w:p>
    <w:p w14:paraId="643363C2"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Приоритетными задачами министерства в области водных отношений в 2026 году являются:</w:t>
      </w:r>
    </w:p>
    <w:p w14:paraId="2286EA23"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1.</w:t>
      </w:r>
      <w:r w:rsidRPr="003E79D8">
        <w:rPr>
          <w:rFonts w:ascii="PT Astra Serif" w:hAnsi="PT Astra Serif"/>
          <w:sz w:val="28"/>
          <w:szCs w:val="28"/>
        </w:rPr>
        <w:tab/>
        <w:t xml:space="preserve"> Реализация мероприятий государственной программы Российской Федерации «Воспроизводство и использование природных ресурсов» в рамках мер по защите от негативного воздействия вод водных объектов, находящихся в федеральной собственности;</w:t>
      </w:r>
    </w:p>
    <w:p w14:paraId="2CD10055"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2.</w:t>
      </w:r>
      <w:r w:rsidRPr="003E79D8">
        <w:rPr>
          <w:rFonts w:ascii="PT Astra Serif" w:hAnsi="PT Astra Serif"/>
          <w:sz w:val="28"/>
          <w:szCs w:val="28"/>
        </w:rPr>
        <w:tab/>
        <w:t xml:space="preserve"> Реализация мероприятий регионального проекта «Вода России»;</w:t>
      </w:r>
    </w:p>
    <w:p w14:paraId="69067885"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3.</w:t>
      </w:r>
      <w:r w:rsidRPr="003E79D8">
        <w:rPr>
          <w:rFonts w:ascii="PT Astra Serif" w:hAnsi="PT Astra Serif"/>
          <w:sz w:val="28"/>
          <w:szCs w:val="28"/>
        </w:rPr>
        <w:tab/>
        <w:t>Расширение доступности государственных услуг по оформлению прав на пользование водными объектами юридическим лицам, индивидуальным предпринимателям и физическим лицам;</w:t>
      </w:r>
    </w:p>
    <w:p w14:paraId="384A76A2"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4. Своевременное и качественное оказание государственных услуг.</w:t>
      </w:r>
    </w:p>
    <w:p w14:paraId="1BB60968"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Недропользование и работа с особо охраняемыми природными территориями</w:t>
      </w:r>
    </w:p>
    <w:p w14:paraId="3193AB7B"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Министерством на постоянной основе предоставляются следующие государственные услуги в области недропользования:</w:t>
      </w:r>
    </w:p>
    <w:p w14:paraId="09265937"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Проведение государственной экспертизы запасов полезных ископаемых и подземных вод, геологической информации о предоставляемых в пользование участках недр местного значения, а также запасов общераспространенных полезных ископаемых и запасов подземных вод, которые используются для целей питьевого водоснабжения или технического водоснабжения и объем добычи которых составляет не более 500 куб. м в сутки. Подготовлено 11 заключений государственных экспертиз запасов полезных ископаемых;</w:t>
      </w:r>
    </w:p>
    <w:p w14:paraId="1F394A0E"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Согласование нормативов потерь общераспространенных полезных ископаемых, превышающих по величине нормативы, утвержденные в составе проектной документации. Услуга в 2025 году не оказывалась;</w:t>
      </w:r>
    </w:p>
    <w:p w14:paraId="73DAC1F7"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Оформление, государственная регистрация и выдача лицензий на пользование недрами, внесению изменений в лицензии на пользование недрами, переоформлению лицензий на пользование недрами в отношении участков недр местного значения. Оформлено 62 лицензии и дополнений к ним;</w:t>
      </w:r>
    </w:p>
    <w:p w14:paraId="2A501A7E"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Согласование технических проектов разработки месторождений общераспространенных полезных ископаемых, подземных вод и иной проектной документации на выполнение работ, связанных с пользованием участками недр местного значения. Согласовано 11 технических проектов разработки месторождений.</w:t>
      </w:r>
    </w:p>
    <w:p w14:paraId="5E150DB1"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Государственные услуги оказываются в установленные сроки. Жалоб и обжалований на предоставленные услуги не поступало.</w:t>
      </w:r>
    </w:p>
    <w:p w14:paraId="68BB28CC"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Саратовская область располагает крупной </w:t>
      </w:r>
      <w:proofErr w:type="spellStart"/>
      <w:r w:rsidRPr="003E79D8">
        <w:rPr>
          <w:rFonts w:ascii="PT Astra Serif" w:hAnsi="PT Astra Serif"/>
          <w:sz w:val="28"/>
          <w:szCs w:val="28"/>
        </w:rPr>
        <w:t>минерально</w:t>
      </w:r>
      <w:proofErr w:type="spellEnd"/>
      <w:r w:rsidRPr="003E79D8">
        <w:rPr>
          <w:rFonts w:ascii="PT Astra Serif" w:hAnsi="PT Astra Serif"/>
          <w:sz w:val="28"/>
          <w:szCs w:val="28"/>
        </w:rPr>
        <w:t xml:space="preserve">–сырьевой базой общераспространенных полезных ископаемых, к которым относятся строительные пески, кирпичные и керамзитовые глины, мел, строительные камни. Общий объем разведанных запасов составляет более 1 млрд. куб. м. </w:t>
      </w:r>
    </w:p>
    <w:p w14:paraId="6F1910B8"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На добычу подземных вод в 2025 году выдано 38 лицензий, из них 2 в порядке переоформления. Оформлено 10 дополнений к лицензиям с изменениями условий пользования недрами. </w:t>
      </w:r>
    </w:p>
    <w:p w14:paraId="2FA3514A"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lastRenderedPageBreak/>
        <w:t>На геологическое изучение, разведку и добычу общераспространенных полезных ископаемых было выдано 14 лицензий, из них 8 в порядке переоформления.</w:t>
      </w:r>
    </w:p>
    <w:p w14:paraId="277253D5"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По итогам 2025 года было выявлено 11 новых месторождений строительного песка и камня (песок – 8 месторождений, камень – 3 месторождения). На баланс запасов поставлены запасы в количестве: песок – 57,2 тыс. куб. м, камень – 6,1 тыс. куб. м. </w:t>
      </w:r>
    </w:p>
    <w:p w14:paraId="6806E4F3"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Согласовано 11 технических проектов разработки месторождений.</w:t>
      </w:r>
    </w:p>
    <w:p w14:paraId="6B8A1E8F"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По состоянию на 31.12.2025 года на территории области действует 202 лицензии геологическое изучение, разведку и добычу общераспространенных полезных ископаемых, в том числе: 16 лицензий на мел, 119 – на строительные пески, 27 – на глинистое сырье и 40 – на строительный камень, и 609 лицензии на добычу подземных вод на участках недр местного значения.</w:t>
      </w:r>
    </w:p>
    <w:p w14:paraId="2CC33D73"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В бюджет области поступило за 2025 год 4496,344 тыс. рублей.</w:t>
      </w:r>
    </w:p>
    <w:p w14:paraId="59193506"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Министерством постоянно ведется мониторинг соблюдения недропользователями лицензионных обязательств. </w:t>
      </w:r>
    </w:p>
    <w:p w14:paraId="371415A0"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Принято 54 решений о досрочном прекращении права пользования недрами, из них: </w:t>
      </w:r>
    </w:p>
    <w:p w14:paraId="188E6AED"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по инициативе владельцев лицензий – 2;</w:t>
      </w:r>
    </w:p>
    <w:p w14:paraId="2AA8CABC"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-ликвидации юридического лица, которому недра были предоставлены в пользование – 22;</w:t>
      </w:r>
    </w:p>
    <w:p w14:paraId="28765076"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нарушение недропользователем существенных условий лицензии – 11;</w:t>
      </w:r>
    </w:p>
    <w:p w14:paraId="5DF98141"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 в связи с истечением срока действия лицензий – 19. </w:t>
      </w:r>
    </w:p>
    <w:p w14:paraId="47E071E8"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Развитие системы особо охраняемых природных территорий. </w:t>
      </w:r>
    </w:p>
    <w:p w14:paraId="087E9C37"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В рамках реализации полномочий министерство оказывает следующие государственные услуги в области охраны особо охраняемых природных территорий (далее - ООПТ):</w:t>
      </w:r>
    </w:p>
    <w:p w14:paraId="7C3B8FAB"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1. Выдача разрешения на строительство в случае осуществления строительства, реконструкции объекта капитального строительства, строительство, реконструкцию которого планируется осуществлять в границах особо охраняемой природной территории регионального значения, находящейся в ведении министерства природных ресурсов и экологии области. Услуга в 2025 году не оказывалась;</w:t>
      </w:r>
    </w:p>
    <w:p w14:paraId="14037AFA"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2. Выдача разрешения на ввод в эксплуатацию объекта капитального строительства, построенного, реконструированного в границах особо охраняемой природной территории регионального значения, находящейся в ведении министерства природных ресурсов и экологии области, в соответствии с разрешением на строительство, выданным министерством природных ресурсов и экологии области. Услуга в 2025 году не оказывалась;</w:t>
      </w:r>
    </w:p>
    <w:p w14:paraId="64917301"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3. Выдача разрешения на изъятие объектов растительного мира, занесенных в Красную книгу Саратовской области и не занесенных в Красную книгу Российской Федерации, за исключением водных биологических ресурсов. Услуга в 2025 году не оказывалась.</w:t>
      </w:r>
    </w:p>
    <w:p w14:paraId="3AF5D151"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Развитие системы особо охраняемых природных территорий (далее-ООПТ) направлено на сохранение уникальных природных объектов нашего региона.</w:t>
      </w:r>
    </w:p>
    <w:p w14:paraId="036BF61C"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lastRenderedPageBreak/>
        <w:t xml:space="preserve">В Саратовской области на сегодняшний день 99 ООПТ, общей площадью 186,0 тыс. га, в том числе 3 федерального значения 92 регионального и 4 местного. </w:t>
      </w:r>
    </w:p>
    <w:p w14:paraId="5FCD2FF1"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Ежегодно проводится большая работа по созданию новых ООПТ. За последние четыре года их площадь увеличилась на 40 тысяч га. </w:t>
      </w:r>
    </w:p>
    <w:p w14:paraId="5DB50AFD"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В 2025 году созданы памятники природы:</w:t>
      </w:r>
    </w:p>
    <w:p w14:paraId="05736EF8"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 в Лысогорском районе - «Урочище «Лысая Гора» на площади 542 га, цель создания - сохранение природного комплекса подзоны северной степи Приволжской возвышенно-равнинной степной провинции, является местным </w:t>
      </w:r>
      <w:proofErr w:type="spellStart"/>
      <w:r w:rsidRPr="003E79D8">
        <w:rPr>
          <w:rFonts w:ascii="PT Astra Serif" w:hAnsi="PT Astra Serif"/>
          <w:sz w:val="28"/>
          <w:szCs w:val="28"/>
        </w:rPr>
        <w:t>рефугиумом</w:t>
      </w:r>
      <w:proofErr w:type="spellEnd"/>
      <w:r w:rsidRPr="003E79D8">
        <w:rPr>
          <w:rFonts w:ascii="PT Astra Serif" w:hAnsi="PT Astra Serif"/>
          <w:sz w:val="28"/>
          <w:szCs w:val="28"/>
        </w:rPr>
        <w:t xml:space="preserve"> (убежищем) для различных диких животных и растений включая редкие занесенные в Красную книгу РФ и Саратовской области; </w:t>
      </w:r>
    </w:p>
    <w:p w14:paraId="3874D884"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в Татищевском районе - «Урочище «Белый ключ» на площади 152 га, цель создания - сохранение природного комплекса (лесной ландшафтной местности) подзоны северной степи Приволжской возвышенно-равнинной степной провинции;</w:t>
      </w:r>
    </w:p>
    <w:p w14:paraId="75A3112C"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в Балашовском районе - «Урочище «</w:t>
      </w:r>
      <w:proofErr w:type="spellStart"/>
      <w:r w:rsidRPr="003E79D8">
        <w:rPr>
          <w:rFonts w:ascii="PT Astra Serif" w:hAnsi="PT Astra Serif"/>
          <w:sz w:val="28"/>
          <w:szCs w:val="28"/>
        </w:rPr>
        <w:t>Никольевская</w:t>
      </w:r>
      <w:proofErr w:type="spellEnd"/>
      <w:r w:rsidRPr="003E79D8">
        <w:rPr>
          <w:rFonts w:ascii="PT Astra Serif" w:hAnsi="PT Astra Serif"/>
          <w:sz w:val="28"/>
          <w:szCs w:val="28"/>
        </w:rPr>
        <w:t xml:space="preserve"> круча» на площади 147 га, цель создания - сохранение типичного долинного комплекса среднего течения р. Хопер. Особую ценность на ООПТ представляют старовозрастные насаждения сосны.</w:t>
      </w:r>
    </w:p>
    <w:p w14:paraId="0BD6C14B"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Кроме того, с 2022 года ведется работа по увеличению площади ООПТ Кумысной поляны. В 2023 году ее площадь выросла на 449 га. В настоящее время она составляет уже 6685 га. В 2026 году планируется расширить её площадь ещё на 200 га. Присоединяемый участок расположен южнее города Саратова со стороны п. Соколовый. Работы ведутся с 2024 года.</w:t>
      </w:r>
    </w:p>
    <w:p w14:paraId="48C21AE9"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Ежегодно проводится работа по благоустройству территории «Кумысной поляны» за счет средств областного бюджета, а именно: очистка лесных насаждений от захламленности, организован сбор и вывоз бытового мусора. Кроме того, в весенне-осенний период проводятся субботники с участием волонтеров, студентов, организаций и предприятий. </w:t>
      </w:r>
    </w:p>
    <w:p w14:paraId="598F2D1E"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На территории Кумысной поляны расположено 25 родников, из которых 18 уже благоустроены. В соответствии с программой развития территории планируется провести работы по благоустройству всех имеющихся родников.</w:t>
      </w:r>
    </w:p>
    <w:p w14:paraId="64C2B4E2"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В 2025 году за счет средств областного бюджета обустроен родник «Свято-Алексеевский» в районе Вишневой горы, в 2026 году планируется обустроить родник в районе Королькова сада.</w:t>
      </w:r>
    </w:p>
    <w:p w14:paraId="1CA22BE7"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В рамках реализации мероприятий по предотвращению лесных пожаров в пожароопасный сезон 2025 года были осуществлены профилактические действия и ежедневные патрулирования лесного массива. Благодаря своевременно принятым мерам, возгорания в лесных насаждениях не зарегистрированы.</w:t>
      </w:r>
    </w:p>
    <w:p w14:paraId="147B02AE"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В 2025 году на территории Кумысной поляны на площади 8 га высажено 16 тысяч сеянцев сосны, клена и дуба. </w:t>
      </w:r>
    </w:p>
    <w:p w14:paraId="4E2284CF"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Приоритетными задачами министерства в области недропользования и работы с особо охраняемыми природными территориями на 2026 год являются: </w:t>
      </w:r>
    </w:p>
    <w:p w14:paraId="1D4DCA80"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1. Оформление, регистрация и выдача лицензий на право пользования недрами на участках недр местного значения;</w:t>
      </w:r>
    </w:p>
    <w:p w14:paraId="4C5E470C"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lastRenderedPageBreak/>
        <w:t>2. Оформление, регистрация и выдача дополнений (изменений) к лицензиям на право пользования недрами на участках недр местного значения;</w:t>
      </w:r>
    </w:p>
    <w:p w14:paraId="57D87A30"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3. Проведение аукционов на право пользования недрами на участках недр местного значения;</w:t>
      </w:r>
    </w:p>
    <w:p w14:paraId="26D473AF"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4. Продолжение работы по согласованию технических проектов разработки месторождений;</w:t>
      </w:r>
    </w:p>
    <w:p w14:paraId="3F66B7CC"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5. Комиссионная работа по проведению экспертизы запасов полезных ископаемых и постановку их на Государственный баланс запасов полезных ископаемых;</w:t>
      </w:r>
    </w:p>
    <w:p w14:paraId="62A5E1ED"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6. Включение участков недр местного значения в «Перечень участков недр местного значения» для дальнейшего их лицензирования;</w:t>
      </w:r>
    </w:p>
    <w:p w14:paraId="10D9329E"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7. Постановка на кадастровый учет установленные охранные зоны памятников природы Саратовской области;</w:t>
      </w:r>
    </w:p>
    <w:p w14:paraId="777791FD"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8. Ведение Красной книги Саратовской области;</w:t>
      </w:r>
    </w:p>
    <w:p w14:paraId="412898C3"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9. Расширение границ памятника природы «Кумысная поляна»;</w:t>
      </w:r>
    </w:p>
    <w:p w14:paraId="4D794270"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10. Обустройство родников памятника природы «Кумысная поляна»;</w:t>
      </w:r>
    </w:p>
    <w:p w14:paraId="3FF6951C"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11. Увеличение и развитие площади особо охраняемых природных территорий региона;</w:t>
      </w:r>
    </w:p>
    <w:p w14:paraId="71C32584"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12. Качественное и своевременное оказание государственных услуг.</w:t>
      </w:r>
    </w:p>
    <w:p w14:paraId="66832AB1" w14:textId="77777777" w:rsidR="003E79D8" w:rsidRPr="003E79D8" w:rsidRDefault="003E79D8" w:rsidP="003E79D8">
      <w:pPr>
        <w:tabs>
          <w:tab w:val="left" w:pos="851"/>
        </w:tabs>
        <w:rPr>
          <w:rFonts w:ascii="PT Astra Serif" w:hAnsi="PT Astra Serif"/>
          <w:sz w:val="28"/>
          <w:szCs w:val="28"/>
        </w:rPr>
      </w:pPr>
    </w:p>
    <w:p w14:paraId="5109BE50"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Государственный экологический надзор</w:t>
      </w:r>
    </w:p>
    <w:p w14:paraId="7DD6E01F"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Управление государственного экологического надзора министерства осуществляет надзорные функции по 3 направлениям:</w:t>
      </w:r>
    </w:p>
    <w:p w14:paraId="3760F608"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 региональный государственный экологический надзор; </w:t>
      </w:r>
    </w:p>
    <w:p w14:paraId="1DCB529F"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региональный государственный геологический контроль (надзор);</w:t>
      </w:r>
    </w:p>
    <w:p w14:paraId="1C2D5CB4"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 государственный контроль (надзор) в области охраны и использования особо охраняемых природных территорий. </w:t>
      </w:r>
    </w:p>
    <w:p w14:paraId="134A2F0C"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Контрольно – надзорная деятельность осуществлялась с учётом риск–ориентированного подхода и была направлена на предотвращение и профилактику правонарушений в сфере экологии, снижение ущерба, причиняемого объектам окружающей среды и реализуется посредством проведения контрольно–надзорных и профилактических мероприятий.</w:t>
      </w:r>
    </w:p>
    <w:p w14:paraId="1FFBA80B"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За 2025 год было проведено:</w:t>
      </w:r>
    </w:p>
    <w:p w14:paraId="146A68D1"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- 2 согласованные внеплановые проверки;</w:t>
      </w:r>
    </w:p>
    <w:p w14:paraId="5143E3F4"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- 1 профилактический визит;</w:t>
      </w:r>
    </w:p>
    <w:p w14:paraId="348CF32A"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- 173 мероприятия без взаимодействия с контролируемым лицом в виде выездных обследований, из них в части: экологического надзора – 150; геологического – 12; ООПТ – 11. </w:t>
      </w:r>
    </w:p>
    <w:p w14:paraId="1E595ED6"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выдано 22 предупреждения о недопустимости нарушения обязательных требований, из них в части: экологического надзора – 21; геологического – 1; ООПТ – 0.</w:t>
      </w:r>
    </w:p>
    <w:p w14:paraId="659803A5"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 выдано 928 предостережений о недопустимости нарушений обязательных требований, из них в части: экологического надзора – 768; геологического – 144; ООПТ – 16. </w:t>
      </w:r>
    </w:p>
    <w:p w14:paraId="13D0AADC"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выдано 23 представления об устранении причин и условий, способствующих совершению административного правонарушения, из них в части: экологического надзора – 23; геологического – 0; ООПТ – 0.</w:t>
      </w:r>
    </w:p>
    <w:p w14:paraId="47376C33"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lastRenderedPageBreak/>
        <w:t>- выдано 16 предписаний об устранении выявленных нарушений обязательных требований в части осуществления экологического надзора;</w:t>
      </w:r>
    </w:p>
    <w:p w14:paraId="343EB5CC"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организовано 3 постоянных рейда на территории особо охраняемых природных территорий регионального значения;</w:t>
      </w:r>
    </w:p>
    <w:p w14:paraId="64D121B5"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по поступившим материалам от правоохранительных и надзорных органов к административной ответственности привлечено 60 виновных лица, из них в части: экологического надзора – 39; геологического – 7; ООПТ – 14.</w:t>
      </w:r>
    </w:p>
    <w:p w14:paraId="46070B59"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наложено штрафов на сумму 694,0 тыс. рублей, из них в части: экологического надзора – 480,0 тыс. рублей; геологического – 190,0 тыс. рублей; ООПТ – 24,0 тыс. рублей.</w:t>
      </w:r>
    </w:p>
    <w:p w14:paraId="174B3312"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взыскано штрафов на сумму 505,4 тыс. рублей.</w:t>
      </w:r>
    </w:p>
    <w:p w14:paraId="3AF2F5EF"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Был рассчитан размер ущерба, нанесенного компонентам окружающей среды на сумму 98,5 млн. рублей. Добровольно оплачен ущерб на сумму 573,0 тыс. рублей.</w:t>
      </w:r>
    </w:p>
    <w:p w14:paraId="15D194BD"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В рамках реализации Программ профилактики нарушений обязательных требований законодательства, проведены следующие профилактические мероприятия:</w:t>
      </w:r>
    </w:p>
    <w:p w14:paraId="2443D201"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дано 419 консультаций;</w:t>
      </w:r>
    </w:p>
    <w:p w14:paraId="58DC44CE"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размещено 42 публикации в средствах массовой информации;</w:t>
      </w:r>
    </w:p>
    <w:p w14:paraId="154887E0"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распространено 500 информационных листовок;</w:t>
      </w:r>
    </w:p>
    <w:p w14:paraId="1A916B94"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проведено 480 разъяснительных бесед.</w:t>
      </w:r>
    </w:p>
    <w:p w14:paraId="57D8C004"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В рамках выездных обследований было выявлено 36 несанкционированных свалок на общей площади около 117,2 тыс. кв. м, с объёмом отходов 69,1 тыс. куб. м, из которых ликвидировано 30 свалок на общей площади около 87,2 тыс. кв. м, с объемом – 42,0 тыс. куб. м. отходов.</w:t>
      </w:r>
    </w:p>
    <w:p w14:paraId="314B3C96"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В рамках Плана природоохранных мероприятий Саратовской области в 2025 году были реализованы мероприятия на общую сумму 117380,9 тыс. рублей, в том числе:</w:t>
      </w:r>
    </w:p>
    <w:p w14:paraId="2E6005E2"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- 2 мероприятия по разработке проектно-сметной документации по объектам накопленного вреда (г. Саратов,) на сумму 9257,6 тыс. рублей; </w:t>
      </w:r>
    </w:p>
    <w:p w14:paraId="34CE7C34"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- 51 мероприятие по ликвидации несанкционированных свалок на территории 13 районов области на общую сумму 35854,6 тыс. рублей;</w:t>
      </w:r>
    </w:p>
    <w:p w14:paraId="707FAD35"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мероприятия по озеленению населенных пунктов на территории 12 районов области на общую сумму 71758,3 тыс. рублей;</w:t>
      </w:r>
    </w:p>
    <w:p w14:paraId="6D24ADAE"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- 1 мероприятие по осуществлению мониторинга состояния и загрязнения окружающей среды на территории объектов размещения отходов (Аткарский район) на сумму 510,4 тыс. рублей.</w:t>
      </w:r>
    </w:p>
    <w:p w14:paraId="3327EDEA"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В рамках участия в федеральном проекте «Генеральная уборка» организована работа по подготовке ликвидации 3-х крупных свалок (в г. Саратове, г. Пугачеве, г. Ершове), включенных в Государственный реестр объектов накопленного вреда окружающей среде. Оценка общего влияния на окружающую среду, а также жизнь и здоровье граждан у каждого объекта выше установленного значения 4,5 и они подлежат ликвидации в первоочередном порядке.</w:t>
      </w:r>
    </w:p>
    <w:p w14:paraId="1DDEEDAC"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Во взаимодействии с администрациями муниципальных образований «Город Саратов», Пугачевского и Ершовского районов области были разработаны и направлены в Минприроды России «Дорожные карты» по </w:t>
      </w:r>
      <w:r w:rsidRPr="003E79D8">
        <w:rPr>
          <w:rFonts w:ascii="PT Astra Serif" w:hAnsi="PT Astra Serif"/>
          <w:sz w:val="28"/>
          <w:szCs w:val="28"/>
        </w:rPr>
        <w:lastRenderedPageBreak/>
        <w:t xml:space="preserve">подготовке к реализации мероприятий по ликвидации объектов трех </w:t>
      </w:r>
      <w:proofErr w:type="spellStart"/>
      <w:r w:rsidRPr="003E79D8">
        <w:rPr>
          <w:rFonts w:ascii="PT Astra Serif" w:hAnsi="PT Astra Serif"/>
          <w:sz w:val="28"/>
          <w:szCs w:val="28"/>
        </w:rPr>
        <w:t>НВОС</w:t>
      </w:r>
      <w:proofErr w:type="spellEnd"/>
      <w:r w:rsidRPr="003E79D8">
        <w:rPr>
          <w:rFonts w:ascii="PT Astra Serif" w:hAnsi="PT Astra Serif"/>
          <w:sz w:val="28"/>
          <w:szCs w:val="28"/>
        </w:rPr>
        <w:t xml:space="preserve"> в рамках ФП «Генеральная уборка», утвержденные Губернатором Саратовской области </w:t>
      </w:r>
      <w:proofErr w:type="spellStart"/>
      <w:r w:rsidRPr="003E79D8">
        <w:rPr>
          <w:rFonts w:ascii="PT Astra Serif" w:hAnsi="PT Astra Serif"/>
          <w:sz w:val="28"/>
          <w:szCs w:val="28"/>
        </w:rPr>
        <w:t>Р.В</w:t>
      </w:r>
      <w:proofErr w:type="spellEnd"/>
      <w:r w:rsidRPr="003E79D8">
        <w:rPr>
          <w:rFonts w:ascii="PT Astra Serif" w:hAnsi="PT Astra Serif"/>
          <w:sz w:val="28"/>
          <w:szCs w:val="28"/>
        </w:rPr>
        <w:t xml:space="preserve">. </w:t>
      </w:r>
      <w:proofErr w:type="spellStart"/>
      <w:r w:rsidRPr="003E79D8">
        <w:rPr>
          <w:rFonts w:ascii="PT Astra Serif" w:hAnsi="PT Astra Serif"/>
          <w:sz w:val="28"/>
          <w:szCs w:val="28"/>
        </w:rPr>
        <w:t>Бусаргиным</w:t>
      </w:r>
      <w:proofErr w:type="spellEnd"/>
      <w:r w:rsidRPr="003E79D8">
        <w:rPr>
          <w:rFonts w:ascii="PT Astra Serif" w:hAnsi="PT Astra Serif"/>
          <w:sz w:val="28"/>
          <w:szCs w:val="28"/>
        </w:rPr>
        <w:t xml:space="preserve"> от 29.10.2025 года.</w:t>
      </w:r>
    </w:p>
    <w:p w14:paraId="0C5093CA"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1. Земельные участки на территории муниципального образования «Город Саратов», загрязненные химическими отходами в результате деятельности ООО «</w:t>
      </w:r>
      <w:proofErr w:type="spellStart"/>
      <w:r w:rsidRPr="003E79D8">
        <w:rPr>
          <w:rFonts w:ascii="PT Astra Serif" w:hAnsi="PT Astra Serif"/>
          <w:sz w:val="28"/>
          <w:szCs w:val="28"/>
        </w:rPr>
        <w:t>Экорос</w:t>
      </w:r>
      <w:proofErr w:type="spellEnd"/>
      <w:r w:rsidRPr="003E79D8">
        <w:rPr>
          <w:rFonts w:ascii="PT Astra Serif" w:hAnsi="PT Astra Serif"/>
          <w:sz w:val="28"/>
          <w:szCs w:val="28"/>
        </w:rPr>
        <w:t xml:space="preserve">» (Саратовская область). </w:t>
      </w:r>
    </w:p>
    <w:p w14:paraId="0A42579F"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Объект внесен в </w:t>
      </w:r>
      <w:proofErr w:type="spellStart"/>
      <w:r w:rsidRPr="003E79D8">
        <w:rPr>
          <w:rFonts w:ascii="PT Astra Serif" w:hAnsi="PT Astra Serif"/>
          <w:sz w:val="28"/>
          <w:szCs w:val="28"/>
        </w:rPr>
        <w:t>ГРОНВОС</w:t>
      </w:r>
      <w:proofErr w:type="spellEnd"/>
      <w:r w:rsidRPr="003E79D8">
        <w:rPr>
          <w:rFonts w:ascii="PT Astra Serif" w:hAnsi="PT Astra Serif"/>
          <w:sz w:val="28"/>
          <w:szCs w:val="28"/>
        </w:rPr>
        <w:t xml:space="preserve">. Оценка в </w:t>
      </w:r>
      <w:proofErr w:type="spellStart"/>
      <w:r w:rsidRPr="003E79D8">
        <w:rPr>
          <w:rFonts w:ascii="PT Astra Serif" w:hAnsi="PT Astra Serif"/>
          <w:sz w:val="28"/>
          <w:szCs w:val="28"/>
        </w:rPr>
        <w:t>ГРОНВОС</w:t>
      </w:r>
      <w:proofErr w:type="spellEnd"/>
      <w:r w:rsidRPr="003E79D8">
        <w:rPr>
          <w:rFonts w:ascii="PT Astra Serif" w:hAnsi="PT Astra Serif"/>
          <w:sz w:val="28"/>
          <w:szCs w:val="28"/>
        </w:rPr>
        <w:t xml:space="preserve"> - 6,1. Площадь в </w:t>
      </w:r>
      <w:proofErr w:type="spellStart"/>
      <w:r w:rsidRPr="003E79D8">
        <w:rPr>
          <w:rFonts w:ascii="PT Astra Serif" w:hAnsi="PT Astra Serif"/>
          <w:sz w:val="28"/>
          <w:szCs w:val="28"/>
        </w:rPr>
        <w:t>ГРОНВОС</w:t>
      </w:r>
      <w:proofErr w:type="spellEnd"/>
      <w:r w:rsidRPr="003E79D8">
        <w:rPr>
          <w:rFonts w:ascii="PT Astra Serif" w:hAnsi="PT Astra Serif"/>
          <w:sz w:val="28"/>
          <w:szCs w:val="28"/>
        </w:rPr>
        <w:t xml:space="preserve"> 10,6 га.</w:t>
      </w:r>
    </w:p>
    <w:p w14:paraId="2E281AD2"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По итогам электронного аукциона администрацией МО «Город Саратов» 15.12.2025 года был заключен муниципальный контракт на доработку ПСД с ООО «</w:t>
      </w:r>
      <w:proofErr w:type="spellStart"/>
      <w:r w:rsidRPr="003E79D8">
        <w:rPr>
          <w:rFonts w:ascii="PT Astra Serif" w:hAnsi="PT Astra Serif"/>
          <w:sz w:val="28"/>
          <w:szCs w:val="28"/>
        </w:rPr>
        <w:t>СаратовЗапСибНИИпроект</w:t>
      </w:r>
      <w:proofErr w:type="spellEnd"/>
      <w:r w:rsidRPr="003E79D8">
        <w:rPr>
          <w:rFonts w:ascii="PT Astra Serif" w:hAnsi="PT Astra Serif"/>
          <w:sz w:val="28"/>
          <w:szCs w:val="28"/>
        </w:rPr>
        <w:t xml:space="preserve"> - 2000». Предусмотренный срок выполнения работ – до 7 декабря 2026 года.</w:t>
      </w:r>
    </w:p>
    <w:p w14:paraId="5399BCA2"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Согласно «Дорожной карте» ПСД должна быть подготовлена в декабре 2026 года, направление заявки на участие в проекте планируется в январе 2027 года. Работы по ликвидации свалки планируется провести в 2027 – 2029 гг.</w:t>
      </w:r>
    </w:p>
    <w:p w14:paraId="4BE68498"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2. Объект накопленного вреда окружающей среде – «Свалка ТКО, Саратовская область, в границах населенного пункта г. Пугачева (Саратовская область, на земельных участках с кадастровыми номерами 64:46:010416:76, 64:46:010416:77, 64:46:000000:35 (</w:t>
      </w:r>
      <w:proofErr w:type="spellStart"/>
      <w:r w:rsidRPr="003E79D8">
        <w:rPr>
          <w:rFonts w:ascii="PT Astra Serif" w:hAnsi="PT Astra Serif"/>
          <w:sz w:val="28"/>
          <w:szCs w:val="28"/>
        </w:rPr>
        <w:t>ЕЗП</w:t>
      </w:r>
      <w:proofErr w:type="spellEnd"/>
      <w:r w:rsidRPr="003E79D8">
        <w:rPr>
          <w:rFonts w:ascii="PT Astra Serif" w:hAnsi="PT Astra Serif"/>
          <w:sz w:val="28"/>
          <w:szCs w:val="28"/>
        </w:rPr>
        <w:t>, включающее в себя 2 земельных участка с кадастровыми номерами 64:46:010416:10, 64:46:010417:9)».</w:t>
      </w:r>
    </w:p>
    <w:p w14:paraId="65798AB7"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Объект внесён в </w:t>
      </w:r>
      <w:proofErr w:type="spellStart"/>
      <w:r w:rsidRPr="003E79D8">
        <w:rPr>
          <w:rFonts w:ascii="PT Astra Serif" w:hAnsi="PT Astra Serif"/>
          <w:sz w:val="28"/>
          <w:szCs w:val="28"/>
        </w:rPr>
        <w:t>ГРОНВОС</w:t>
      </w:r>
      <w:proofErr w:type="spellEnd"/>
      <w:r w:rsidRPr="003E79D8">
        <w:rPr>
          <w:rFonts w:ascii="PT Astra Serif" w:hAnsi="PT Astra Serif"/>
          <w:sz w:val="28"/>
          <w:szCs w:val="28"/>
        </w:rPr>
        <w:t xml:space="preserve">. Оценка в </w:t>
      </w:r>
      <w:proofErr w:type="spellStart"/>
      <w:r w:rsidRPr="003E79D8">
        <w:rPr>
          <w:rFonts w:ascii="PT Astra Serif" w:hAnsi="PT Astra Serif"/>
          <w:sz w:val="28"/>
          <w:szCs w:val="28"/>
        </w:rPr>
        <w:t>ГРОНВОС</w:t>
      </w:r>
      <w:proofErr w:type="spellEnd"/>
      <w:r w:rsidRPr="003E79D8">
        <w:rPr>
          <w:rFonts w:ascii="PT Astra Serif" w:hAnsi="PT Astra Serif"/>
          <w:sz w:val="28"/>
          <w:szCs w:val="28"/>
        </w:rPr>
        <w:t xml:space="preserve"> – 5,3. Площадь свалки в </w:t>
      </w:r>
      <w:proofErr w:type="spellStart"/>
      <w:r w:rsidRPr="003E79D8">
        <w:rPr>
          <w:rFonts w:ascii="PT Astra Serif" w:hAnsi="PT Astra Serif"/>
          <w:sz w:val="28"/>
          <w:szCs w:val="28"/>
        </w:rPr>
        <w:t>ГРОНВОС</w:t>
      </w:r>
      <w:proofErr w:type="spellEnd"/>
      <w:r w:rsidRPr="003E79D8">
        <w:rPr>
          <w:rFonts w:ascii="PT Astra Serif" w:hAnsi="PT Astra Serif"/>
          <w:sz w:val="28"/>
          <w:szCs w:val="28"/>
        </w:rPr>
        <w:t xml:space="preserve"> – 32 га. </w:t>
      </w:r>
    </w:p>
    <w:p w14:paraId="02CB83F9"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По итогам проведенного администрацией Пугачевского района электронного аукциона на разработку проектно-сметной документации с победителем ООО «</w:t>
      </w:r>
      <w:proofErr w:type="spellStart"/>
      <w:r w:rsidRPr="003E79D8">
        <w:rPr>
          <w:rFonts w:ascii="PT Astra Serif" w:hAnsi="PT Astra Serif"/>
          <w:sz w:val="28"/>
          <w:szCs w:val="28"/>
        </w:rPr>
        <w:t>СаратовЗапСибНИИпроект</w:t>
      </w:r>
      <w:proofErr w:type="spellEnd"/>
      <w:r w:rsidRPr="003E79D8">
        <w:rPr>
          <w:rFonts w:ascii="PT Astra Serif" w:hAnsi="PT Astra Serif"/>
          <w:sz w:val="28"/>
          <w:szCs w:val="28"/>
        </w:rPr>
        <w:t xml:space="preserve"> - 2000» заключён 21.11.2025 года муниципальный контракт. Предусмотренный срок завершения разработки ПСД - до 31.08.2026 года.</w:t>
      </w:r>
    </w:p>
    <w:p w14:paraId="549293BD"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Согласно «Дорожной карте» направление заявки на участие в проекте планируется в октябре 2026 года. Работы по ликвидации свалки планируется провести в 2028 – 2029 гг.</w:t>
      </w:r>
    </w:p>
    <w:p w14:paraId="163AA0EB"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3. Объект «Свалка ТКО, Саратовская область, муниципальное образование г. Ершов (Саратовская область, на земельных участках с кадастровыми номерами 64:13:003201:1, 64:13:003201:2)». </w:t>
      </w:r>
    </w:p>
    <w:p w14:paraId="623C0706"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Объект внесён в </w:t>
      </w:r>
      <w:proofErr w:type="spellStart"/>
      <w:r w:rsidRPr="003E79D8">
        <w:rPr>
          <w:rFonts w:ascii="PT Astra Serif" w:hAnsi="PT Astra Serif"/>
          <w:sz w:val="28"/>
          <w:szCs w:val="28"/>
        </w:rPr>
        <w:t>ГРОНВОС</w:t>
      </w:r>
      <w:proofErr w:type="spellEnd"/>
      <w:r w:rsidRPr="003E79D8">
        <w:rPr>
          <w:rFonts w:ascii="PT Astra Serif" w:hAnsi="PT Astra Serif"/>
          <w:sz w:val="28"/>
          <w:szCs w:val="28"/>
        </w:rPr>
        <w:t xml:space="preserve">. Оценка в </w:t>
      </w:r>
      <w:proofErr w:type="spellStart"/>
      <w:r w:rsidRPr="003E79D8">
        <w:rPr>
          <w:rFonts w:ascii="PT Astra Serif" w:hAnsi="PT Astra Serif"/>
          <w:sz w:val="28"/>
          <w:szCs w:val="28"/>
        </w:rPr>
        <w:t>ГРОНВОС</w:t>
      </w:r>
      <w:proofErr w:type="spellEnd"/>
      <w:r w:rsidRPr="003E79D8">
        <w:rPr>
          <w:rFonts w:ascii="PT Astra Serif" w:hAnsi="PT Astra Serif"/>
          <w:sz w:val="28"/>
          <w:szCs w:val="28"/>
        </w:rPr>
        <w:t xml:space="preserve"> – 4,6. Площадь в </w:t>
      </w:r>
      <w:proofErr w:type="spellStart"/>
      <w:r w:rsidRPr="003E79D8">
        <w:rPr>
          <w:rFonts w:ascii="PT Astra Serif" w:hAnsi="PT Astra Serif"/>
          <w:sz w:val="28"/>
          <w:szCs w:val="28"/>
        </w:rPr>
        <w:t>ГРОНВОС</w:t>
      </w:r>
      <w:proofErr w:type="spellEnd"/>
      <w:r w:rsidRPr="003E79D8">
        <w:rPr>
          <w:rFonts w:ascii="PT Astra Serif" w:hAnsi="PT Astra Serif"/>
          <w:sz w:val="28"/>
          <w:szCs w:val="28"/>
        </w:rPr>
        <w:t xml:space="preserve"> - 1,2 га. </w:t>
      </w:r>
    </w:p>
    <w:p w14:paraId="33E65F1A"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Администрацией Ершовского района в 2023-2024 гг. проводилась разработка ПСД (подрядчик ООО «</w:t>
      </w:r>
      <w:proofErr w:type="spellStart"/>
      <w:r w:rsidRPr="003E79D8">
        <w:rPr>
          <w:rFonts w:ascii="PT Astra Serif" w:hAnsi="PT Astra Serif"/>
          <w:sz w:val="28"/>
          <w:szCs w:val="28"/>
        </w:rPr>
        <w:t>Транспроектинжиниринг</w:t>
      </w:r>
      <w:proofErr w:type="spellEnd"/>
      <w:r w:rsidRPr="003E79D8">
        <w:rPr>
          <w:rFonts w:ascii="PT Astra Serif" w:hAnsi="PT Astra Serif"/>
          <w:sz w:val="28"/>
          <w:szCs w:val="28"/>
        </w:rPr>
        <w:t xml:space="preserve">»). </w:t>
      </w:r>
    </w:p>
    <w:p w14:paraId="27DB2DD5"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Согласно «Дорожной карте» направление заявки на участие в проекте планируется в октябре 2026 года. Работы по ликвидации свалки планируется провести в 2027 - 2029 гг.</w:t>
      </w:r>
    </w:p>
    <w:p w14:paraId="1E79FF80"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Приоритетными направлениями министерства в области государственного экологического контроля в 2026 году являются:</w:t>
      </w:r>
    </w:p>
    <w:p w14:paraId="494B910A"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1. Продолжение практики по выявлению и организации ликвидации мест несанкционированного складирования твердых коммунальных и прочих отходов на территории области;</w:t>
      </w:r>
    </w:p>
    <w:p w14:paraId="730807AB"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2. Активизация взаимодействия с органами местного самоуправления и природоохранными структурами;</w:t>
      </w:r>
    </w:p>
    <w:p w14:paraId="161B1F90"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lastRenderedPageBreak/>
        <w:t>3. Усиление работы по профилактике, выявлению и пресечению правонарушений в области охраны окружающей среды;</w:t>
      </w:r>
    </w:p>
    <w:p w14:paraId="29969548"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4. Реализация мероприятий по ликвидации объектов накопленного вреда окружающей среде в рамках федерального проекта «Генеральная уборка»;</w:t>
      </w:r>
    </w:p>
    <w:p w14:paraId="10E9A6F4"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5. Взаимодействие с органами местного самоуправления в части реализации утвержденного Плана природоохранных мероприятий на 2026 – 2028 гг.</w:t>
      </w:r>
    </w:p>
    <w:p w14:paraId="6EB6902A" w14:textId="77777777" w:rsidR="003E79D8" w:rsidRPr="003E79D8" w:rsidRDefault="003E79D8" w:rsidP="003E79D8">
      <w:pPr>
        <w:tabs>
          <w:tab w:val="left" w:pos="851"/>
        </w:tabs>
        <w:rPr>
          <w:rFonts w:ascii="PT Astra Serif" w:hAnsi="PT Astra Serif"/>
          <w:sz w:val="28"/>
          <w:szCs w:val="28"/>
        </w:rPr>
      </w:pPr>
    </w:p>
    <w:p w14:paraId="6CC59DEE"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Работа комплексной системы по обращению с твердыми коммунальными отходами на территории области</w:t>
      </w:r>
    </w:p>
    <w:p w14:paraId="7448AB45"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С 2025 года на территории области реализуется региональный проект «Экономика замкнутого цикла». </w:t>
      </w:r>
    </w:p>
    <w:p w14:paraId="22DF60FE"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Целью данного проекта является формирование экономики замкнутого цикла, обеспечивающей к 2030 году сортировку 100% объема ежегодно образуемых ТКО, захоронение не более чем 50% таких отходов и вовлечение в хозяйственный оборот не менее чем 25% отходов производства и потребления в качестве вторичных ресурсов и сырья.</w:t>
      </w:r>
    </w:p>
    <w:p w14:paraId="6E98AB8A"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На территории области определен Региональный оператор по обращению с твердыми коммунальными отходами - АО «Ситиматик» и создана коммунальная инфраструктура, состоящая из 3 мусоросортировочных комплексов в Энгельсе, Балаково и Саратове, общей мощностью 395 тыс. тонн в год, 20 мусороперегрузочных станций и 10 полигонов ТКО.</w:t>
      </w:r>
    </w:p>
    <w:p w14:paraId="71F9C0F8"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В рамках утверждённых министерством природных ресурсов и экологии области инвестиционных программ в области обращения с ТКО на территории Саратовской области (на 2022-2024 гг. и 2025-2028 гг.) запланировано создание новых карт на объектах размещения ТКО в г. Балаково, г. Энгельсе.</w:t>
      </w:r>
    </w:p>
    <w:p w14:paraId="156CE368"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В 2024 году была разработана проектно-сметная документация на строительство карт размещения ТКО г. Энгельса, получено положительное заключение государственной экологической экспертизы, в 2025 году получено положительное заключение Государственной экспертизы проектной документации. На полигоне в г. Балаково в настоящее время проводятся проектно-изыскательские работы.</w:t>
      </w:r>
    </w:p>
    <w:p w14:paraId="0D5CC342"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Продолжается работа по созданию мусоросортировочного комплекса мощностью 75 тыс. тонн в год на территории Балашовского района. В настоящее время в рамках заключенного договора на выполнение проектно-изыскательских работ по объекту подрядчиком выполняются предпроектные работы для последующей разработки проектно-сметной документации. Ориентировочный срок реализации проекта – 2029 год. Часть оборудования у инвестора уже имеется в наличии.</w:t>
      </w:r>
    </w:p>
    <w:p w14:paraId="3ABB707A"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За истекший 2025 год в «Центр управления регионом» и на «горячую линию» министерства поступило 13622 сообщения граждан, которые связаны с несогласием с деятельностью Регионального оператора по обращению с ТКО, несвоевременным вывозом ТКО, переполнением контейнеров, неоказанием услуги по сбору и вывозу ТКО в населенных пунктах или на их отдельных территориях, из которых 17 % по несвоевременному вывозу отходов (2300 обращений). Среднегодовое количество обращений, поступающих за неделю — 263 сообщения.</w:t>
      </w:r>
    </w:p>
    <w:p w14:paraId="43D6C652"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lastRenderedPageBreak/>
        <w:t>Специалистами министерства по всем поступившим обращениям с привлечением представителей Регионального оператора и администраций муниципальных районов области оперативно осуществляются обследования территорий контейнерных площадок, по результатам которых принимаются соответствующие меры по зачистке территорий, а также ведется разъяснительная работа с жителями.</w:t>
      </w:r>
    </w:p>
    <w:p w14:paraId="21831501"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В 2025 году в отношении Регионального оператора по обращению с ТКО министерством природных ресурсов и экологии области составлено 19 актов контрольных выездных мероприятий по фактам нарушения условий заключенных соглашений (по фактам захламления контейнерных площадок отходами вследствие нарушения периодичности вывоза ТКО и по фактам несоблюдения условий заключенных договоров с юридическими лицами по соблюдению графика вывоза ТКО с контейнерных площадок юридических лиц). В настоящее время по выявленным в результате контрольных мероприятий нарушениям приняты соответствующие меры по их устранению. </w:t>
      </w:r>
    </w:p>
    <w:p w14:paraId="3CC97957"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На 31.12.2025 года на территории области создано 19925 контейнерных площадок, из них обустроено 5820 единиц – 42 % (в 2024 г. - 39,5% по области), имеется более 38 тысяч контейнеров.</w:t>
      </w:r>
    </w:p>
    <w:p w14:paraId="1840DE5E"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В рамках исполнения системных планов работы по обращению с твердыми коммунальными отходами в 2025 году администрациями муниципальных районов области из запланированных к обустройству 562 контейнерных площадок проведены работы по обустройству 320 мест (площадок) накопления ТКО. </w:t>
      </w:r>
    </w:p>
    <w:p w14:paraId="0B9F74DF"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Наиболее активно данную работу провели администрации городов Саратова и Энгельса, где доля обустроенных площадок на текущую дату составляет более 80% по отношению к имеющимся, необходимо также отметить администрации городского округа ЗАТО Светлый, МО п. Михайловский, на территории которых все имеющиеся площадки обустроены в полном объеме.</w:t>
      </w:r>
    </w:p>
    <w:p w14:paraId="7F5355BE"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Приобретение контейнеров для накопления ТКО активно проводились администрациями МО «Город Саратов», Пугачевского, Балашовского, Татищевского, Краснокутского, Ершовского, Советского, Марксовского, Ровенского районов. В целом закуплена 321 единица контейнеров (план - 556).</w:t>
      </w:r>
    </w:p>
    <w:p w14:paraId="3B0D45D9"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Данная работа министерством во взаимодействии с районными администрациями области будет продолжена и в текущем году, министерством формируются системные планы работ на текущий год с последующим направлением в администрации для утверждения и исполнения. </w:t>
      </w:r>
    </w:p>
    <w:p w14:paraId="073D57FF"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По данному вопросу муниципалитетам, не исполнившим системные планы на 2025 год, рекомендовано активизировать работу в 2026 году.</w:t>
      </w:r>
    </w:p>
    <w:p w14:paraId="57659406"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Саратовским филиалом АО «Ситиматик» в 2025 году закуплено 110 контейнеров (в рамках 1% необходимой валовой выручки регионального оператора), что позволило произвести замену вышедших из строя контейнеров в ряде муниципальных районов.</w:t>
      </w:r>
    </w:p>
    <w:p w14:paraId="6EEC8178"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С целью обеспечения бесперебойной работы по вывозу ТКО с территорий населенных пунктов области в 2025 году региональным оператором создан резерв </w:t>
      </w:r>
      <w:proofErr w:type="spellStart"/>
      <w:r w:rsidRPr="003E79D8">
        <w:rPr>
          <w:rFonts w:ascii="PT Astra Serif" w:hAnsi="PT Astra Serif"/>
          <w:sz w:val="28"/>
          <w:szCs w:val="28"/>
        </w:rPr>
        <w:t>мусоровывозящей</w:t>
      </w:r>
      <w:proofErr w:type="spellEnd"/>
      <w:r w:rsidRPr="003E79D8">
        <w:rPr>
          <w:rFonts w:ascii="PT Astra Serif" w:hAnsi="PT Astra Serif"/>
          <w:sz w:val="28"/>
          <w:szCs w:val="28"/>
        </w:rPr>
        <w:t xml:space="preserve"> техники в количестве 21 единицы в том числе в Саратове - 13 ед., Энгельсе - 3 ед., Балаково - 1 ед., Ершове - 1 ед., Озинках-1 </w:t>
      </w:r>
      <w:r w:rsidRPr="003E79D8">
        <w:rPr>
          <w:rFonts w:ascii="PT Astra Serif" w:hAnsi="PT Astra Serif"/>
          <w:sz w:val="28"/>
          <w:szCs w:val="28"/>
        </w:rPr>
        <w:lastRenderedPageBreak/>
        <w:t xml:space="preserve">ед., Перелюбе – 1 ед., </w:t>
      </w:r>
      <w:proofErr w:type="spellStart"/>
      <w:r w:rsidRPr="003E79D8">
        <w:rPr>
          <w:rFonts w:ascii="PT Astra Serif" w:hAnsi="PT Astra Serif"/>
          <w:sz w:val="28"/>
          <w:szCs w:val="28"/>
        </w:rPr>
        <w:t>Духовницке</w:t>
      </w:r>
      <w:proofErr w:type="spellEnd"/>
      <w:r w:rsidRPr="003E79D8">
        <w:rPr>
          <w:rFonts w:ascii="PT Astra Serif" w:hAnsi="PT Astra Serif"/>
          <w:sz w:val="28"/>
          <w:szCs w:val="28"/>
        </w:rPr>
        <w:t xml:space="preserve"> – 1 ед., общее количество </w:t>
      </w:r>
      <w:proofErr w:type="spellStart"/>
      <w:r w:rsidRPr="003E79D8">
        <w:rPr>
          <w:rFonts w:ascii="PT Astra Serif" w:hAnsi="PT Astra Serif"/>
          <w:sz w:val="28"/>
          <w:szCs w:val="28"/>
        </w:rPr>
        <w:t>мусоровывозящей</w:t>
      </w:r>
      <w:proofErr w:type="spellEnd"/>
      <w:r w:rsidRPr="003E79D8">
        <w:rPr>
          <w:rFonts w:ascii="PT Astra Serif" w:hAnsi="PT Astra Serif"/>
          <w:sz w:val="28"/>
          <w:szCs w:val="28"/>
        </w:rPr>
        <w:t xml:space="preserve"> техники с учетом резерва составляет 182 единицы.</w:t>
      </w:r>
    </w:p>
    <w:p w14:paraId="022FC9E4"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В декабре 2024 года министерством природных ресурсов и экологии Саратовской области и Минприроды России подписано Соглашение о реализации регионального проекта «Экономика замкнутого цикла (Саратовская область)», с установленными плановыми значениями следующих показателей в 2025 году:</w:t>
      </w:r>
    </w:p>
    <w:p w14:paraId="7E60D583"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доля захораниваемых твердых коммунальных отходов в общей массе образованных твердых коммунальных отходов – 95,5 %;</w:t>
      </w:r>
    </w:p>
    <w:p w14:paraId="63EC10CE"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доля обрабатываемых твердых коммунальных отходов в общей массе образованных твердых коммунальных отходов - 83,1 %.</w:t>
      </w:r>
    </w:p>
    <w:p w14:paraId="724D964F"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По итогам 2025 года основные показатели установленные региону, исполнены в полном объеме: </w:t>
      </w:r>
    </w:p>
    <w:p w14:paraId="258C4EFC"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доля обрабатываемых твердых коммунальных отходов в общей массе образованных твердых коммунальных отходов - 85,3 %;</w:t>
      </w:r>
    </w:p>
    <w:p w14:paraId="12BEDDCF"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доля захораниваемых твердых коммунальных отходов в общей массе образованных твердых коммунальных отходов - 95,1 %.</w:t>
      </w:r>
    </w:p>
    <w:p w14:paraId="3F5013E2"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Основными приоритетными направлениями министерства по работе комплексной системы по обращению с твердыми коммунальными отходами на территории области в 2026 году являются:</w:t>
      </w:r>
    </w:p>
    <w:p w14:paraId="7E179C17"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Создание новых карт на объектах размещения ТКО в г. Балаково и г. Энгельсе;</w:t>
      </w:r>
    </w:p>
    <w:p w14:paraId="6ACC1A22"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Контроль за реализацией мероприятий инвестиционных программ АО «Ситиматик» на 2022-2024 гг. и на 2025-2028 гг.;</w:t>
      </w:r>
    </w:p>
    <w:p w14:paraId="33138D41"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Исполнение установленных показателей регионального проекта «Экономика замкнутого цикла»;</w:t>
      </w:r>
    </w:p>
    <w:p w14:paraId="101EB6AE"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Контроль за исполнением органами местного самоуправления Системных планов работ по обращению с твёрдыми коммунальными отходами на 2026 год;</w:t>
      </w:r>
    </w:p>
    <w:p w14:paraId="0552F04E"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Усиление контроля за деятельностью Регионального оператора по обращению с ТКО, операторов по обращению с ТКО и их подрядных организаций, в части осуществления своевременного и качественного вывоза отходов с контейнерных площадок.</w:t>
      </w:r>
    </w:p>
    <w:p w14:paraId="59D99190" w14:textId="77777777" w:rsidR="003E79D8" w:rsidRPr="003E79D8" w:rsidRDefault="003E79D8" w:rsidP="003E79D8">
      <w:pPr>
        <w:tabs>
          <w:tab w:val="left" w:pos="851"/>
        </w:tabs>
        <w:rPr>
          <w:rFonts w:ascii="PT Astra Serif" w:hAnsi="PT Astra Serif"/>
          <w:sz w:val="28"/>
          <w:szCs w:val="28"/>
        </w:rPr>
      </w:pPr>
    </w:p>
    <w:p w14:paraId="0AB2281E"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Нормирование, экологическая экспертиза и мониторинг окружающей среды</w:t>
      </w:r>
    </w:p>
    <w:p w14:paraId="6FB9C277"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На территории Саратовской области действуют нормативы накопления твердых коммунальных отходов, установленные приказом министерства природных ресурсов и экологии Саратовской области от 27.09.2022 года № 481. Кроме того, приказом министерства природных ресурсов и экологии Саратовской области от 12.12.2022 года № 703 установлены временные нормативы накопления медицинских отходов класса А (эпидемиологически безопасных отходов, по составу приближенных к ТКО).</w:t>
      </w:r>
    </w:p>
    <w:p w14:paraId="44663894"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На территории региона действует Территориальная схема обращения с отходами Саратовской области и её электронная модель (далее – Территориальная схема), утвержденная приказом министерства природных ресурсов и экологии Саратовской области от 30.05.2020 года № 262. </w:t>
      </w:r>
    </w:p>
    <w:p w14:paraId="20956E98"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lastRenderedPageBreak/>
        <w:t xml:space="preserve">В рамках Государственного контракта № </w:t>
      </w:r>
      <w:proofErr w:type="spellStart"/>
      <w:r w:rsidRPr="003E79D8">
        <w:rPr>
          <w:rFonts w:ascii="PT Astra Serif" w:hAnsi="PT Astra Serif"/>
          <w:sz w:val="28"/>
          <w:szCs w:val="28"/>
        </w:rPr>
        <w:t>3К</w:t>
      </w:r>
      <w:proofErr w:type="spellEnd"/>
      <w:r w:rsidRPr="003E79D8">
        <w:rPr>
          <w:rFonts w:ascii="PT Astra Serif" w:hAnsi="PT Astra Serif"/>
          <w:sz w:val="28"/>
          <w:szCs w:val="28"/>
        </w:rPr>
        <w:t xml:space="preserve"> от 07.04.2025 года с ООО «</w:t>
      </w:r>
      <w:proofErr w:type="spellStart"/>
      <w:r w:rsidRPr="003E79D8">
        <w:rPr>
          <w:rFonts w:ascii="PT Astra Serif" w:hAnsi="PT Astra Serif"/>
          <w:sz w:val="28"/>
          <w:szCs w:val="28"/>
        </w:rPr>
        <w:t>ЭттонГруп</w:t>
      </w:r>
      <w:proofErr w:type="spellEnd"/>
      <w:r w:rsidRPr="003E79D8">
        <w:rPr>
          <w:rFonts w:ascii="PT Astra Serif" w:hAnsi="PT Astra Serif"/>
          <w:sz w:val="28"/>
          <w:szCs w:val="28"/>
        </w:rPr>
        <w:t>» в 2025 году проведена корректировка территориальной схемы обращения с отходами Саратовской области и её электронной модели в части внесения изменений в территориальную схему по перспективе развития отрасли по обращению с отходами с 2026-2035 гг. с учетом обеспечения экономической обоснованности выбранных решений, а также схемы потоков отходов от источников их образования до объектов обработки, утилизации и размещения отходов на 2026 - 2035 гг. с учетом выбора оптимального варианта транспортирования.</w:t>
      </w:r>
    </w:p>
    <w:p w14:paraId="1FC0751E"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Приказом министерства природных ресурсов и экологии Саратовской области от 01.12.2025 года № 683 внесены изменения в приказ министерства природных ресурсов и экологии Саратовской области от 30.05.2020 года № 262 «Об утверждении территориальной схемы обращения с отходами Саратовской области». Приказ вступил в силу с 01.01.2026 года.</w:t>
      </w:r>
    </w:p>
    <w:p w14:paraId="3559C6B5"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Основной задачей Территориальной схемы является реализация комплексной системы сбора, накопления, транспортировки, обработки, утилизация, размещения отходов, а также перспектива развития отрасли обращения с ТКО на период до 2030 года. Электронная модель территориальной схемы размещена на официальном сайте министерства для общего бесплатного доступа. </w:t>
      </w:r>
    </w:p>
    <w:p w14:paraId="5028DA2E"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Постановлением Правительства Саратовской области от 30.12.2022 года № 1365-П разработан и утвержден план адаптации к изменениям климата на территории Саратовской области.</w:t>
      </w:r>
    </w:p>
    <w:p w14:paraId="4A46FB0A"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В целях обеспечения населения области достоверной информацией о состоянии окружающей среды подготовлен и размещен в сети Интернет ежегодный Доклад о состоянии и об охране окружающей среды Саратовской области за 2024 год. Ежемесячно информация о состоянии окружающей среды основных компонентах (вода, воздух, почва) окружающей среды. доводится до каждого муниципального образования для размещения на муниципальных сайтах в сети Интернет. На новостных лентах в аккаунтах министерства еженедельно публикуется актуальный экологический мониторинг окружающей среды в зоне деятельности филиала «Экотехнопарк «Михайловский» ФГУП «</w:t>
      </w:r>
      <w:proofErr w:type="spellStart"/>
      <w:r w:rsidRPr="003E79D8">
        <w:rPr>
          <w:rFonts w:ascii="PT Astra Serif" w:hAnsi="PT Astra Serif"/>
          <w:sz w:val="28"/>
          <w:szCs w:val="28"/>
        </w:rPr>
        <w:t>ФЭО</w:t>
      </w:r>
      <w:proofErr w:type="spellEnd"/>
      <w:r w:rsidRPr="003E79D8">
        <w:rPr>
          <w:rFonts w:ascii="PT Astra Serif" w:hAnsi="PT Astra Serif"/>
          <w:sz w:val="28"/>
          <w:szCs w:val="28"/>
        </w:rPr>
        <w:t>».</w:t>
      </w:r>
    </w:p>
    <w:p w14:paraId="201990CB"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В рамках реализации полномочий министерства отделом оказываются следующие государственные услуги, из них две в электронном виде:</w:t>
      </w:r>
    </w:p>
    <w:p w14:paraId="0FD46D47"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1. Согласование мероприятий по снижению выбросов загрязняющих веществ в атмосферный воздух в период неблагоприятных метеорологических условий (далее - период НМУ) для юридических лиц и индивидуальных предпринимателей, имеющих стационарные источники выбросов загрязняющих веществ в атмосферный воздух, находящихся на объектах хозяйственной и иной деятельности, подлежащих федеральному и региональному государственному экологическому надзору.</w:t>
      </w:r>
    </w:p>
    <w:p w14:paraId="6370F2BD"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Реализация предприятиями мероприятий в период НМУ позволяет снизить выбросы загрязняющих веществ в атмосферный воздух и обеспечить соблюдение качества атмосферного воздуха в период действия НМУ в конкретном населенном пункте, что подтверждается наблюдениями за состоянием атмосферного воздуха на стационарных постах. </w:t>
      </w:r>
    </w:p>
    <w:p w14:paraId="7F1D3478"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lastRenderedPageBreak/>
        <w:t>По данным Минприроды России города Саратовской области не входят в Перечень городов РФ с очень высоким уровнем загрязнения атмосферы.</w:t>
      </w:r>
    </w:p>
    <w:p w14:paraId="1E72CA72"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По состоянию на 31.12.2025 года в систему регулирования выбросов загрязняющих веществ в атмосферный воздух в период НМУ вовлечено более 1300 объектов негативного воздействия на окружающую среду, находящихся на территории области. В 2025 году было согласовано 389 мероприятий для объектов Саратовской области (г. Саратов – 106, г. Энгельс – 43, г. Балаково – 11, г. Вольск – 4), за 2024 год – 375.</w:t>
      </w:r>
    </w:p>
    <w:p w14:paraId="34CD2BCA"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2. Организация и проведение государственной экологической экспертизы объектов регионального уровня.</w:t>
      </w:r>
    </w:p>
    <w:p w14:paraId="3E15BCF3"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За 2025 год организована и проведена 1 государственная экологическая экспертиза (в 2024 г. – 2).</w:t>
      </w:r>
    </w:p>
    <w:p w14:paraId="62FE8493"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Рассмотрено 29 деклараций о воздействии на окружающую среду (в 2024 г. – 27), подготовленная юридическими лицами и индивидуальными предпринимателями, осуществляющими хозяйственную деятельность и (или) иную деятельность на объектах 2 категории (во исполнение ст. 31.2 ФЗ «Об охране окружающей среды). </w:t>
      </w:r>
    </w:p>
    <w:p w14:paraId="5930F47C"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3. Постановка объектов негативного воздействия на окружающую среду в региональный государственный реестр объектов негативного воздействия. </w:t>
      </w:r>
    </w:p>
    <w:p w14:paraId="46202744"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На государственный региональный учет поставлено 2845 объектов негативного воздействия на окружающую среду, из них в 2025 году – 105 объектов (в 2024 г. – 210 объектов); актуализировано 239 объектов (в 2024 г. – 163 объекта), снято с государственного учета 33 объекта (в 2024 г. – 17 объектов).</w:t>
      </w:r>
    </w:p>
    <w:p w14:paraId="5A8F3CF5"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Проведена работа по своевременной подаче заявок на получение </w:t>
      </w:r>
      <w:proofErr w:type="spellStart"/>
      <w:r w:rsidRPr="003E79D8">
        <w:rPr>
          <w:rFonts w:ascii="PT Astra Serif" w:hAnsi="PT Astra Serif"/>
          <w:sz w:val="28"/>
          <w:szCs w:val="28"/>
        </w:rPr>
        <w:t>КЭР</w:t>
      </w:r>
      <w:proofErr w:type="spellEnd"/>
      <w:r w:rsidRPr="003E79D8">
        <w:rPr>
          <w:rFonts w:ascii="PT Astra Serif" w:hAnsi="PT Astra Serif"/>
          <w:sz w:val="28"/>
          <w:szCs w:val="28"/>
        </w:rPr>
        <w:t xml:space="preserve"> организациями, осуществляющими хозяйственную деятельность на объектах </w:t>
      </w:r>
      <w:proofErr w:type="spellStart"/>
      <w:r w:rsidRPr="003E79D8">
        <w:rPr>
          <w:rFonts w:ascii="PT Astra Serif" w:hAnsi="PT Astra Serif"/>
          <w:sz w:val="28"/>
          <w:szCs w:val="28"/>
        </w:rPr>
        <w:t>НВОС</w:t>
      </w:r>
      <w:proofErr w:type="spellEnd"/>
      <w:r w:rsidRPr="003E79D8">
        <w:rPr>
          <w:rFonts w:ascii="PT Astra Serif" w:hAnsi="PT Astra Serif"/>
          <w:sz w:val="28"/>
          <w:szCs w:val="28"/>
        </w:rPr>
        <w:t xml:space="preserve"> I категории в установленные сроки. За министерством было закреплено 17 объектов, 6 объектов не планируют получение </w:t>
      </w:r>
      <w:proofErr w:type="spellStart"/>
      <w:r w:rsidRPr="003E79D8">
        <w:rPr>
          <w:rFonts w:ascii="PT Astra Serif" w:hAnsi="PT Astra Serif"/>
          <w:sz w:val="28"/>
          <w:szCs w:val="28"/>
        </w:rPr>
        <w:t>КЭР</w:t>
      </w:r>
      <w:proofErr w:type="spellEnd"/>
      <w:r w:rsidRPr="003E79D8">
        <w:rPr>
          <w:rFonts w:ascii="PT Astra Serif" w:hAnsi="PT Astra Serif"/>
          <w:sz w:val="28"/>
          <w:szCs w:val="28"/>
        </w:rPr>
        <w:t xml:space="preserve">, в 2025 году подали заявки 3 объекта, из них 2 объекта получили </w:t>
      </w:r>
      <w:proofErr w:type="spellStart"/>
      <w:r w:rsidRPr="003E79D8">
        <w:rPr>
          <w:rFonts w:ascii="PT Astra Serif" w:hAnsi="PT Astra Serif"/>
          <w:sz w:val="28"/>
          <w:szCs w:val="28"/>
        </w:rPr>
        <w:t>КЭР</w:t>
      </w:r>
      <w:proofErr w:type="spellEnd"/>
      <w:r w:rsidRPr="003E79D8">
        <w:rPr>
          <w:rFonts w:ascii="PT Astra Serif" w:hAnsi="PT Astra Serif"/>
          <w:sz w:val="28"/>
          <w:szCs w:val="28"/>
        </w:rPr>
        <w:t>.</w:t>
      </w:r>
    </w:p>
    <w:p w14:paraId="44227A5D"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На постоянной основе с 2009 года ведется региональный кадастр отходов производства и потребления. В 2025 году в информационную базу Кадастра внесено более 2400 хозяйствующих субъектов области (в 2024 г. – 2600). </w:t>
      </w:r>
    </w:p>
    <w:p w14:paraId="79BD292F"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В рамках основного мероприятия государственной программы Саратовской области «Охрана окружающей среды, воспроизводство и рациональное использование природных ресурсов Саратовской области» – «Мониторинг окружающей среды» проведены работы: по мониторингу состояния Волгоградского водохранилища в районе набережной г. Саратова в соответствии с Договором с ООО «Биосфера» (г. Саратов). По итогам работы получен Отчет по теме, в котором изложены результаты исследований.</w:t>
      </w:r>
    </w:p>
    <w:p w14:paraId="68E1E363"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Показатель «Качество окружающей среды» установлен Единым планом по достижению национальных целей развития Российской Федерации на период до 2024 года и на плановый период до 2030 года согласно распоряжению Правительства РФ от 01.10.2021 года № 2765-р. </w:t>
      </w:r>
    </w:p>
    <w:p w14:paraId="3CDD3BC9"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В 2024 году показатель исполнен с перевыполнением – 106,5 % (план – 104,2 %). В 2025 году показатель «Качество окружающей среды», установленный Минприроды РФ – 104,36 %. Прогнозный расчет показателя </w:t>
      </w:r>
      <w:r w:rsidRPr="003E79D8">
        <w:rPr>
          <w:rFonts w:ascii="PT Astra Serif" w:hAnsi="PT Astra Serif"/>
          <w:sz w:val="28"/>
          <w:szCs w:val="28"/>
        </w:rPr>
        <w:lastRenderedPageBreak/>
        <w:t>«КОС» за 2025 год составляет 108,2 %, что подтверждает исполнение показателя по итогам года.</w:t>
      </w:r>
    </w:p>
    <w:p w14:paraId="0E4B5A4D"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Приоритетными задачами министерства в области нормирования, экологической экспертизы и мониторинга окружающей среды в 2026 году являются:</w:t>
      </w:r>
    </w:p>
    <w:p w14:paraId="7BD3EC00"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1. Качественное и своевременное оказание государственных услуг (в том числе перевод всех государственных услуг в электронный вид);</w:t>
      </w:r>
    </w:p>
    <w:p w14:paraId="0C11A667"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2. Ведение Регионального государственного реестра объектов негативного воздействия на окружающую среду;</w:t>
      </w:r>
    </w:p>
    <w:p w14:paraId="1C296E33"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3. Подготовка и издание Доклада о состоянии и об охране окружающей среды в Саратовской области за 2025 год;</w:t>
      </w:r>
    </w:p>
    <w:p w14:paraId="7C755784"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4. Формирование Регионального кадастра отходов производства и потребления по итогам работы в 2025 года;</w:t>
      </w:r>
    </w:p>
    <w:p w14:paraId="3CAB5D9C"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5. Проведение мониторинга состояния окружающей среды в рамках государственной программы Саратовской области «Охрана окружающей среды, воспроизводство и рациональное использование природных ресурсов Саратовской области»;</w:t>
      </w:r>
    </w:p>
    <w:p w14:paraId="153310DA"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6. Исполнение целевых показателей государственной программы Саратовской области «Охрана окружающей среды, воспроизводство и рациональное использование природных ресурсов Саратовской области»:</w:t>
      </w:r>
    </w:p>
    <w:p w14:paraId="631A333D"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доля уловленных и обезвреженных загрязняющих веществ от организованных источников не менее 85 % в 2026 году;</w:t>
      </w:r>
    </w:p>
    <w:p w14:paraId="7F2CA644"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доля обезвреженных и утилизированных отходов в общем количестве образованных отходов I - V классов опасности не менее 36 % в 2026 году;</w:t>
      </w:r>
    </w:p>
    <w:p w14:paraId="6EF36940"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7. Исполнение показателя «Качество окружающей среды» установленный Единым планом по достижению национальных целей развития Российской Федерации на период до 2024 года и на плановый период до 2030 года на 2026 год – 104,42 %;</w:t>
      </w:r>
    </w:p>
    <w:p w14:paraId="0B19A17B"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8. Проведение натурных исследований (замеров) твердых коммунальных отходов для определения нормативов накопления твердых коммунальных отходов на территории Саратовской области.</w:t>
      </w:r>
    </w:p>
    <w:p w14:paraId="7154AE71" w14:textId="77777777" w:rsidR="003E79D8" w:rsidRPr="003E79D8" w:rsidRDefault="003E79D8" w:rsidP="003E79D8">
      <w:pPr>
        <w:tabs>
          <w:tab w:val="left" w:pos="851"/>
        </w:tabs>
        <w:rPr>
          <w:rFonts w:ascii="PT Astra Serif" w:hAnsi="PT Astra Serif"/>
          <w:sz w:val="28"/>
          <w:szCs w:val="28"/>
        </w:rPr>
      </w:pPr>
    </w:p>
    <w:p w14:paraId="58B51F2F"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Финансирование</w:t>
      </w:r>
    </w:p>
    <w:p w14:paraId="377A2AE9"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Министерство природных ресурсов и экологии области в 2025 году являлось получателем средств федерального бюджета по 2 госпрограммам РФ: </w:t>
      </w:r>
    </w:p>
    <w:p w14:paraId="64CD0881"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 по госпрограмме РФ «Развитие лесного хозяйства» на реализацию полномочий в области лесных отношений объем федерального финансирования составил 242,5 млн. рублей (2024 г. – 223,1 млн. рублей). </w:t>
      </w:r>
    </w:p>
    <w:p w14:paraId="28CC313B"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Данные средства направлены на осуществление отдельных полномочий РФ в области лесных отношений (финансовое обеспечение государственного задания подведомственным учреждениям, обеспечение деятельности лесничеств и министерства). На 2026 год запланирован объем средств федерального бюджета в размере 238,0 млн. рублей.</w:t>
      </w:r>
    </w:p>
    <w:p w14:paraId="3C895B48"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 по госпрограмме РФ «Воспроизводство и использование природных ресурсов» на реализацию полномочий в области водных отношений объем федерального финансирования составил 27,4 млн.рублей (2024 г. – 28,5 </w:t>
      </w:r>
      <w:r w:rsidRPr="003E79D8">
        <w:rPr>
          <w:rFonts w:ascii="PT Astra Serif" w:hAnsi="PT Astra Serif"/>
          <w:sz w:val="28"/>
          <w:szCs w:val="28"/>
        </w:rPr>
        <w:lastRenderedPageBreak/>
        <w:t xml:space="preserve">млн.рублей). Данные средства направлены на расчистку, дноуглубление русла реки </w:t>
      </w:r>
      <w:proofErr w:type="spellStart"/>
      <w:r w:rsidRPr="003E79D8">
        <w:rPr>
          <w:rFonts w:ascii="PT Astra Serif" w:hAnsi="PT Astra Serif"/>
          <w:sz w:val="28"/>
          <w:szCs w:val="28"/>
        </w:rPr>
        <w:t>Аткара</w:t>
      </w:r>
      <w:proofErr w:type="spellEnd"/>
      <w:r w:rsidRPr="003E79D8">
        <w:rPr>
          <w:rFonts w:ascii="PT Astra Serif" w:hAnsi="PT Astra Serif"/>
          <w:sz w:val="28"/>
          <w:szCs w:val="28"/>
        </w:rPr>
        <w:t xml:space="preserve"> в черте г. Аткарска;</w:t>
      </w:r>
    </w:p>
    <w:p w14:paraId="7C7FB17E"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На 2026 год запланирован объем средств федерального бюджета в размере 23,4 млн. рублей. Данные средства будут направлены на продолжение работ по расчистке и дноуглублению русла реки </w:t>
      </w:r>
      <w:proofErr w:type="spellStart"/>
      <w:r w:rsidRPr="003E79D8">
        <w:rPr>
          <w:rFonts w:ascii="PT Astra Serif" w:hAnsi="PT Astra Serif"/>
          <w:sz w:val="28"/>
          <w:szCs w:val="28"/>
        </w:rPr>
        <w:t>Аткара</w:t>
      </w:r>
      <w:proofErr w:type="spellEnd"/>
      <w:r w:rsidRPr="003E79D8">
        <w:rPr>
          <w:rFonts w:ascii="PT Astra Serif" w:hAnsi="PT Astra Serif"/>
          <w:sz w:val="28"/>
          <w:szCs w:val="28"/>
        </w:rPr>
        <w:t xml:space="preserve"> в черте г. Аткарска. </w:t>
      </w:r>
    </w:p>
    <w:p w14:paraId="49C934E5"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На реализацию региональных проектов национального проекта «Экологическое благополучие» в 2025 году было направлено 88,5 млн.рублей, в том числе на:</w:t>
      </w:r>
    </w:p>
    <w:p w14:paraId="46FF146D"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 региональный проект «Сохранение лесов»: 49,4 млн. рублей, в т.ч. 20,3 млн. рублей субвенций из федерального бюджета и 29,1 млн. рублей средств из областного бюджета. На увеличение площади лесовосстановления предусмотрено 49,3 млн. рублей, на формирование запаса лесных семян для лесовосстановления – 0,1 млн.рублей. </w:t>
      </w:r>
    </w:p>
    <w:p w14:paraId="42BF6E44"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региональный проект «Вода России» – из федерального бюджета 34,6 млн.рублей на выполнение работ по расчистке русла реки Хопер в черте г. Балашова Балашовского района.</w:t>
      </w:r>
    </w:p>
    <w:p w14:paraId="44F60A48"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региональный проект «Стимулирование спроса на отечественные беспилотные авиационные системы» - 4,5 млн. рублей средств из федерального бюджета.</w:t>
      </w:r>
    </w:p>
    <w:p w14:paraId="2DF5555B"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В 2026 году на реализацию национального проекта «Экологическое благополучие» предусмотрено 112,6 млн. рублей, в том числе на:</w:t>
      </w:r>
    </w:p>
    <w:p w14:paraId="37D85ECC"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региональный проект «Сохранение лесов» - 73,5 млн. рублей, из них 48,5 млн. рублей за счет субвенций из федерального бюджета и 25,0 млн. рублей за счет средств областного бюджета (на увеличение площади лесовосстановления, на формирование запаса лесных семян для лесовосстановления, на создание и развитие объектов лесного семеноводства, на приобретение специализированной пожарной техники в целях оснащения органов государственной власти субъектов РФ для проведения комплекса мероприятий по охране лесов от пожаров).</w:t>
      </w:r>
    </w:p>
    <w:p w14:paraId="02B990AE"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 региональный проект «Вода России» - 39,1 млн. рублей, в том числе на проведение корректировки </w:t>
      </w:r>
      <w:proofErr w:type="spellStart"/>
      <w:r w:rsidRPr="003E79D8">
        <w:rPr>
          <w:rFonts w:ascii="PT Astra Serif" w:hAnsi="PT Astra Serif"/>
          <w:sz w:val="28"/>
          <w:szCs w:val="28"/>
        </w:rPr>
        <w:t>проектно</w:t>
      </w:r>
      <w:proofErr w:type="spellEnd"/>
      <w:r w:rsidRPr="003E79D8">
        <w:rPr>
          <w:rFonts w:ascii="PT Astra Serif" w:hAnsi="PT Astra Serif"/>
          <w:sz w:val="28"/>
          <w:szCs w:val="28"/>
        </w:rPr>
        <w:t xml:space="preserve"> – сметной документации по расчистке русла реки Хопер в черте г. Балашова Балашовского района – 4,2 млн. рублей средств областного бюджета и на продолжение работ по данному объекту – 34,9 млн. рублей средств из федерального бюджета.</w:t>
      </w:r>
    </w:p>
    <w:p w14:paraId="23F00B26"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В рамках реализации государственной программы «Охрана окружающей среды, воспроизводство и рациональное использование природных ресурсов Саратовской области» на 2025 год министерству были выделены и освоены средства областного бюджета в размере – 161,6 млн. рублей (2024 г. – 144,4 млн. рублей).</w:t>
      </w:r>
    </w:p>
    <w:p w14:paraId="4AE88387"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Основной объем средств из областного бюджета в 2025 году был предусмотрен на:</w:t>
      </w:r>
    </w:p>
    <w:p w14:paraId="550AB0E7"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содержание 25 мобилизационных групп по тушению лесных пожаров – 101,8 млн. рублей;</w:t>
      </w:r>
    </w:p>
    <w:p w14:paraId="1631661D"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обеспечение деятельности ГУ СО «Кумысная поляна» – 22,2 млн. рублей;</w:t>
      </w:r>
    </w:p>
    <w:p w14:paraId="002711FF"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обеспечение деятельности ГКУ «Саратовское областное лесничество» -16,9 млн. рублей;</w:t>
      </w:r>
    </w:p>
    <w:p w14:paraId="75EA2499"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lastRenderedPageBreak/>
        <w:t>- обеспечение реализации функций и полномочий ГКУ СО «Природоохранный центр» - 11,1 млн. рублей;</w:t>
      </w:r>
    </w:p>
    <w:p w14:paraId="328AEDEE"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 другие мероприятия государственной программы – 9,6 млн. рублей (в т.ч. актуализация территориальной схемы – 5,2 млн. рублей, осуществление </w:t>
      </w:r>
      <w:proofErr w:type="spellStart"/>
      <w:r w:rsidRPr="003E79D8">
        <w:rPr>
          <w:rFonts w:ascii="PT Astra Serif" w:hAnsi="PT Astra Serif"/>
          <w:sz w:val="28"/>
          <w:szCs w:val="28"/>
        </w:rPr>
        <w:t>экоаналитического</w:t>
      </w:r>
      <w:proofErr w:type="spellEnd"/>
      <w:r w:rsidRPr="003E79D8">
        <w:rPr>
          <w:rFonts w:ascii="PT Astra Serif" w:hAnsi="PT Astra Serif"/>
          <w:sz w:val="28"/>
          <w:szCs w:val="28"/>
        </w:rPr>
        <w:t xml:space="preserve"> контроля – 1,1 млн. рублей, выявление ООПТ – 0,7 млн.рублей, экологическое образование – 0,6 млн. рублей, благоустройство родников – 0,5 млн. рублей и др.).</w:t>
      </w:r>
    </w:p>
    <w:p w14:paraId="16D69E5A"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На 2026 год предусмотрено средств областного бюджета на реализацию госпрограммы области – 230,4 млн. рублей.</w:t>
      </w:r>
    </w:p>
    <w:p w14:paraId="4285A2D6"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Приоритетными задачами министерства природных ресурсов и экологии области в части финансирования в 2026 году являются:</w:t>
      </w:r>
    </w:p>
    <w:p w14:paraId="1BC4B1CD"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эффективность исполнения расходов федерального и областного бюджетов, а также бюджетных и закупочных процедур текущего финансового года и очередного планового периода.</w:t>
      </w:r>
    </w:p>
    <w:p w14:paraId="63E5D8F1" w14:textId="77777777" w:rsidR="003E79D8" w:rsidRPr="003E79D8" w:rsidRDefault="003E79D8" w:rsidP="003E79D8">
      <w:pPr>
        <w:tabs>
          <w:tab w:val="left" w:pos="851"/>
        </w:tabs>
        <w:rPr>
          <w:rFonts w:ascii="PT Astra Serif" w:hAnsi="PT Astra Serif"/>
          <w:sz w:val="28"/>
          <w:szCs w:val="28"/>
        </w:rPr>
      </w:pPr>
    </w:p>
    <w:p w14:paraId="03C07CBB"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Нормотворческая деятельность. Работа по взысканию недоимки по платежам за пользование природными ресурсами.</w:t>
      </w:r>
    </w:p>
    <w:p w14:paraId="0A7DC9FC"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В течение 2025 года министерством было разработано и издано 89 нормативных правовых актов, в том числе 53 приказа министерства, которые были опубликованы в официальных источниках опубликования и направлены на экспертизу в Управление Министерства юстиции Российской Федерации по Саратовской области. Проекты указанных правовых актов в обязательном порядке направлялись на предварительное согласование в органы прокуратуры и получили положительное заключение прокуратуры Саратовской области или Волжской межрегиональной природоохранной прокуратуры.</w:t>
      </w:r>
    </w:p>
    <w:p w14:paraId="16BA76EE"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На протяжении отчётного периода министерство принимало активное участие в рассмотрении проектов федеральных законов и проектов иных федеральных нормативных правовых актов, направляемых в министерство для рассмотрения.</w:t>
      </w:r>
    </w:p>
    <w:p w14:paraId="0A714CA6"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Организована активная судебная работа в целях снижения недоимки по платежам за пользование природными ресурсами. </w:t>
      </w:r>
    </w:p>
    <w:p w14:paraId="37963B05"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В 2025 году предъявлено в суды:</w:t>
      </w:r>
    </w:p>
    <w:p w14:paraId="196309EF"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- 45 исковых заявлений на общую сумму 5,8 млн. рублей о взыскании задолженности по договорам аренды лесных участков (арендная плата, неустойки);</w:t>
      </w:r>
    </w:p>
    <w:p w14:paraId="0780C482"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- 12 исковых заявлений на общую сумму 123,6 тыс. рублей о взыскании задолженности по договорам водопользования.</w:t>
      </w:r>
    </w:p>
    <w:p w14:paraId="71FF68EB"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В связи с систематическим неисполнением обязательств по внесению платы за использование лесов на основании поданных министерством исков в 2025 году судами были приняты решения о расторжении 5 договоров аренды лесного участка.</w:t>
      </w:r>
    </w:p>
    <w:p w14:paraId="6E68FA53"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Проводится постоянная работа по возбуждению исполнительных производств на основании судебных актов, принятых в пользу министерства, в том числе осуществляется контроль за ходом осуществления службой судебных приставов исполнительных производств. Так, в течение 2025 года в службу судебных приставов было направлено:</w:t>
      </w:r>
    </w:p>
    <w:p w14:paraId="4C584534"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lastRenderedPageBreak/>
        <w:t>- 25 исполнительных документов на общую сумму 1,3 млн. рублей, выданных на основании решений суда о взыскании задолженности по договорам аренды лесных участков;</w:t>
      </w:r>
    </w:p>
    <w:p w14:paraId="7163A9E3"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- 4 исполнительных документа на общую сумму 176,0 тыс. рублей, выданных на основании решений суда о взыскании задолженности по договорам водопользования.</w:t>
      </w:r>
    </w:p>
    <w:p w14:paraId="17796D0B"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Оперативно проведена необходимая исковая работа в целях взыскания с недобросовестного подрядчика (ООО «ЮМакс»), выполнявшего работы по расчистке русла реки Хопер в черте г. Балашова и расчистке водохранилища на реке Большой Узень у с. Милорадовка Краснопартизанского района на основании двух государственных контрактов, суммы неотработанного аванса и штрафов за неисполнение обязательств, предусмотренных контрактами, на общую сумму 38,8 млн. рублей. Исковые требования министерства удовлетворены Арбитражным судом Саратовской области в полном объеме (дела № </w:t>
      </w:r>
      <w:proofErr w:type="spellStart"/>
      <w:r w:rsidRPr="003E79D8">
        <w:rPr>
          <w:rFonts w:ascii="PT Astra Serif" w:hAnsi="PT Astra Serif"/>
          <w:sz w:val="28"/>
          <w:szCs w:val="28"/>
        </w:rPr>
        <w:t>А57</w:t>
      </w:r>
      <w:proofErr w:type="spellEnd"/>
      <w:r w:rsidRPr="003E79D8">
        <w:rPr>
          <w:rFonts w:ascii="PT Astra Serif" w:hAnsi="PT Astra Serif"/>
          <w:sz w:val="28"/>
          <w:szCs w:val="28"/>
        </w:rPr>
        <w:t xml:space="preserve">-23469/2025 и № </w:t>
      </w:r>
      <w:proofErr w:type="spellStart"/>
      <w:r w:rsidRPr="003E79D8">
        <w:rPr>
          <w:rFonts w:ascii="PT Astra Serif" w:hAnsi="PT Astra Serif"/>
          <w:sz w:val="28"/>
          <w:szCs w:val="28"/>
        </w:rPr>
        <w:t>А57</w:t>
      </w:r>
      <w:proofErr w:type="spellEnd"/>
      <w:r w:rsidRPr="003E79D8">
        <w:rPr>
          <w:rFonts w:ascii="PT Astra Serif" w:hAnsi="PT Astra Serif"/>
          <w:sz w:val="28"/>
          <w:szCs w:val="28"/>
        </w:rPr>
        <w:t>-25109/2025). В настоящее время службой судебных приставов осуществляется исполнительное производство. Кроме того, на основании заявления министерства в августе 2025 года было возбуждено уголовное дело в отношении директора ООО «ЮМакс» и иных неустановленных лиц по признакам преступления, предусмотренного частью 4 статьи 159 Уголовного кодекса РФ.</w:t>
      </w:r>
    </w:p>
    <w:p w14:paraId="2858F0FA"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Благодаря проведенной министерством работе в 2025 году в рамках исполнения решения Арбитражного суда Саратовской области от 25.05.2022 года по делу № </w:t>
      </w:r>
      <w:proofErr w:type="spellStart"/>
      <w:r w:rsidRPr="003E79D8">
        <w:rPr>
          <w:rFonts w:ascii="PT Astra Serif" w:hAnsi="PT Astra Serif"/>
          <w:sz w:val="28"/>
          <w:szCs w:val="28"/>
        </w:rPr>
        <w:t>А57</w:t>
      </w:r>
      <w:proofErr w:type="spellEnd"/>
      <w:r w:rsidRPr="003E79D8">
        <w:rPr>
          <w:rFonts w:ascii="PT Astra Serif" w:hAnsi="PT Astra Serif"/>
          <w:sz w:val="28"/>
          <w:szCs w:val="28"/>
        </w:rPr>
        <w:t>-22676/202110 организацией-должником (ООО «Автодорожник») была полностью оплачена сумма вреда, причиненного недрам вследствие добычи полезного ископаемого (песка) за границами подсчета запасов полезных ископаемых, в размере 28,9 млн. рублей. Данная сумма в соответствии с бюджетным законодательством была перечислена в бюджет Энгельсского муниципального района.</w:t>
      </w:r>
    </w:p>
    <w:p w14:paraId="77216036"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Министерство также принимало активное участие в судебных разбирательствах и в рамках других категорий дел, в том числе в качестве третьего лица в делах по искам прокуратуры, связанным с восстановлением нарушенных прав и законных интересов Российской Федерации в отношении земель лесного фонда, и по делам, связанным с устранением нарушений водного и иного природоохранного законодательства. В течение 2025 года министерство принимало активное участие в судебных разбирательствах, связанных с вопросами ликвидации несанкционированных свалок на территории области.</w:t>
      </w:r>
    </w:p>
    <w:p w14:paraId="5674FD10"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Приоритетными задачами министерства природных ресурсов и экологии области в области в нормотворческой деятельности в 2026 году являются:</w:t>
      </w:r>
    </w:p>
    <w:p w14:paraId="611D3BFB"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1. Разработка и принятие необходимых нормативных правовых актов, внесение изменений в действующие нормативные правовые акты;</w:t>
      </w:r>
    </w:p>
    <w:p w14:paraId="3992FEF9"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2. Участие в судебных разбирательствах, в том числе связанных с взысканием недоимки по договорам аренды лесных участков и договорам водопользования;</w:t>
      </w:r>
    </w:p>
    <w:p w14:paraId="574C7AC9"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3. Правовое сопровождение деятельности министерства в процессе реализации возложенных на него полномочий.</w:t>
      </w:r>
    </w:p>
    <w:p w14:paraId="2C0F532D" w14:textId="77777777" w:rsidR="003E79D8" w:rsidRPr="003E79D8" w:rsidRDefault="003E79D8" w:rsidP="003E79D8">
      <w:pPr>
        <w:tabs>
          <w:tab w:val="left" w:pos="851"/>
        </w:tabs>
        <w:rPr>
          <w:rFonts w:ascii="PT Astra Serif" w:hAnsi="PT Astra Serif"/>
          <w:sz w:val="28"/>
          <w:szCs w:val="28"/>
        </w:rPr>
      </w:pPr>
    </w:p>
    <w:p w14:paraId="62F6BD3D"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lastRenderedPageBreak/>
        <w:t>Экологическое образование, пропаганда экологических знаний, работа с общественными организациями и средствами массовой информации</w:t>
      </w:r>
    </w:p>
    <w:p w14:paraId="2EC6A979"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Одним из приоритетных направлений деятельности министерства природных ресурсов и экологии Саратовской области является разъяснение важности охраны окружающей среды и привлечение внимания всех жителей области к данной проблеме, экологическая пропаганда, повышение уровня экологической культуры, не только у подрастающего поколения, но и всех слоёв населения, совместное решение актуальных проблем и улучшение состояния окружающей среды.</w:t>
      </w:r>
    </w:p>
    <w:p w14:paraId="16605868"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В целях повышения уровня экологических знаний у населения области и формирования экологической культуры в 2025 году при поддержке министерства проводились научные семинары, конференции, эко–викторины, экологические марафоны, принималось участие во Всероссийских и областных экологических акциях. </w:t>
      </w:r>
    </w:p>
    <w:p w14:paraId="092C5245"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За 2025 год на территории Саратовской области при участии министерства проведено более 300 экологических мероприятий, в которых приняло участие более 40 000 жителей региона. Главная цель проведенных мероприятий – воспитание бережного отношения к окружающей среде, водным и лесным ресурсам, привлечение внимания общества к проблемам сохранения, восстановления и приумножения природных богатств.</w:t>
      </w:r>
    </w:p>
    <w:p w14:paraId="045CD54C"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18 января 2025 года при участии сотрудников министерства на территории памятника природы «Кумысная поляна» воспитанники ГАУ СО </w:t>
      </w:r>
      <w:proofErr w:type="spellStart"/>
      <w:r w:rsidRPr="003E79D8">
        <w:rPr>
          <w:rFonts w:ascii="PT Astra Serif" w:hAnsi="PT Astra Serif"/>
          <w:sz w:val="28"/>
          <w:szCs w:val="28"/>
        </w:rPr>
        <w:t>СРЦ</w:t>
      </w:r>
      <w:proofErr w:type="spellEnd"/>
      <w:r w:rsidRPr="003E79D8">
        <w:rPr>
          <w:rFonts w:ascii="PT Astra Serif" w:hAnsi="PT Astra Serif"/>
          <w:sz w:val="28"/>
          <w:szCs w:val="28"/>
        </w:rPr>
        <w:t xml:space="preserve"> «Возвращение» заводского филиала, совместно с ГБУ </w:t>
      </w:r>
      <w:proofErr w:type="spellStart"/>
      <w:r w:rsidRPr="003E79D8">
        <w:rPr>
          <w:rFonts w:ascii="PT Astra Serif" w:hAnsi="PT Astra Serif"/>
          <w:sz w:val="28"/>
          <w:szCs w:val="28"/>
        </w:rPr>
        <w:t>СОДО</w:t>
      </w:r>
      <w:proofErr w:type="spellEnd"/>
      <w:r w:rsidRPr="003E79D8">
        <w:rPr>
          <w:rFonts w:ascii="PT Astra Serif" w:hAnsi="PT Astra Serif"/>
          <w:sz w:val="28"/>
          <w:szCs w:val="28"/>
        </w:rPr>
        <w:t xml:space="preserve"> «</w:t>
      </w:r>
      <w:proofErr w:type="spellStart"/>
      <w:r w:rsidRPr="003E79D8">
        <w:rPr>
          <w:rFonts w:ascii="PT Astra Serif" w:hAnsi="PT Astra Serif"/>
          <w:sz w:val="28"/>
          <w:szCs w:val="28"/>
        </w:rPr>
        <w:t>ОЦЭКИТ</w:t>
      </w:r>
      <w:proofErr w:type="spellEnd"/>
      <w:r w:rsidRPr="003E79D8">
        <w:rPr>
          <w:rFonts w:ascii="PT Astra Serif" w:hAnsi="PT Astra Serif"/>
          <w:sz w:val="28"/>
          <w:szCs w:val="28"/>
        </w:rPr>
        <w:t>», отрядом волонтеров «Мы вместе», провели мероприятие, посвященное Дню зимующих птиц. Юные экологи узнали как правильно заботиться о птицах зимой. Они изготовили своими руками экологичные кормушки, развесили их на территории Кумысной поляны и смогли наблюдать за синицами, воробьями и сойками.</w:t>
      </w:r>
    </w:p>
    <w:p w14:paraId="786F68DF"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20 марта 2025 года состоялась встреча министра природных ресурсов и экологии Саратовской области Константина Доронина с директором фонда «</w:t>
      </w:r>
      <w:proofErr w:type="spellStart"/>
      <w:r w:rsidRPr="003E79D8">
        <w:rPr>
          <w:rFonts w:ascii="PT Astra Serif" w:hAnsi="PT Astra Serif"/>
          <w:sz w:val="28"/>
          <w:szCs w:val="28"/>
        </w:rPr>
        <w:t>ЭкоСтанция-Лысогорье</w:t>
      </w:r>
      <w:proofErr w:type="spellEnd"/>
      <w:r w:rsidRPr="003E79D8">
        <w:rPr>
          <w:rFonts w:ascii="PT Astra Serif" w:hAnsi="PT Astra Serif"/>
          <w:sz w:val="28"/>
          <w:szCs w:val="28"/>
        </w:rPr>
        <w:t xml:space="preserve">» </w:t>
      </w:r>
      <w:proofErr w:type="spellStart"/>
      <w:r w:rsidRPr="003E79D8">
        <w:rPr>
          <w:rFonts w:ascii="PT Astra Serif" w:hAnsi="PT Astra Serif"/>
          <w:sz w:val="28"/>
          <w:szCs w:val="28"/>
        </w:rPr>
        <w:t>Севар</w:t>
      </w:r>
      <w:proofErr w:type="spellEnd"/>
      <w:r w:rsidRPr="003E79D8">
        <w:rPr>
          <w:rFonts w:ascii="PT Astra Serif" w:hAnsi="PT Astra Serif"/>
          <w:sz w:val="28"/>
          <w:szCs w:val="28"/>
        </w:rPr>
        <w:t xml:space="preserve"> Муратходжаевой и его учредителем Равилем </w:t>
      </w:r>
      <w:proofErr w:type="spellStart"/>
      <w:r w:rsidRPr="003E79D8">
        <w:rPr>
          <w:rFonts w:ascii="PT Astra Serif" w:hAnsi="PT Astra Serif"/>
          <w:sz w:val="28"/>
          <w:szCs w:val="28"/>
        </w:rPr>
        <w:t>Валиахмедовым</w:t>
      </w:r>
      <w:proofErr w:type="spellEnd"/>
      <w:r w:rsidRPr="003E79D8">
        <w:rPr>
          <w:rFonts w:ascii="PT Astra Serif" w:hAnsi="PT Astra Serif"/>
          <w:sz w:val="28"/>
          <w:szCs w:val="28"/>
        </w:rPr>
        <w:t xml:space="preserve">. В ходе встречи обсуждались вопросы зонирования памятника природы, чтобы определить верную антропогенную нагрузку на ООПТ. Распределение территорий на заповедные зоны для создания особого режима охраны флоры и фауны и на рекреационные зоны для посещения их туристами, а также программы привлечения молодежи в сохранение природных территорий. </w:t>
      </w:r>
    </w:p>
    <w:p w14:paraId="65172FEA"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21 марта 2025 года в ГБУ </w:t>
      </w:r>
      <w:proofErr w:type="spellStart"/>
      <w:r w:rsidRPr="003E79D8">
        <w:rPr>
          <w:rFonts w:ascii="PT Astra Serif" w:hAnsi="PT Astra Serif"/>
          <w:sz w:val="28"/>
          <w:szCs w:val="28"/>
        </w:rPr>
        <w:t>СОДО</w:t>
      </w:r>
      <w:proofErr w:type="spellEnd"/>
      <w:r w:rsidRPr="003E79D8">
        <w:rPr>
          <w:rFonts w:ascii="PT Astra Serif" w:hAnsi="PT Astra Serif"/>
          <w:sz w:val="28"/>
          <w:szCs w:val="28"/>
        </w:rPr>
        <w:t xml:space="preserve"> «</w:t>
      </w:r>
      <w:proofErr w:type="spellStart"/>
      <w:r w:rsidRPr="003E79D8">
        <w:rPr>
          <w:rFonts w:ascii="PT Astra Serif" w:hAnsi="PT Astra Serif"/>
          <w:sz w:val="28"/>
          <w:szCs w:val="28"/>
        </w:rPr>
        <w:t>ОЦЭКИТ</w:t>
      </w:r>
      <w:proofErr w:type="spellEnd"/>
      <w:r w:rsidRPr="003E79D8">
        <w:rPr>
          <w:rFonts w:ascii="PT Astra Serif" w:hAnsi="PT Astra Serif"/>
          <w:sz w:val="28"/>
          <w:szCs w:val="28"/>
        </w:rPr>
        <w:t xml:space="preserve">» при участии министерства прошла 31-я областная научно-практическая экологической конференция обучающихся. Цель конференции: активизация познавательной, творческой и интеллектуальной инициатив обучающихся посредством привлечения их к исследовательской и проектной деятельности в естественнонаучной и экологической областях знаний. В Конференции приняли участие 168 обучающихся 6 - 11 классов из 46 образовательных учреждений 16 районов области. Победители и призеры конференции были награждены дипломами и грамотами. </w:t>
      </w:r>
    </w:p>
    <w:p w14:paraId="45961C6B"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lastRenderedPageBreak/>
        <w:t xml:space="preserve">В апреле 2025 года министерством организовано проведение еженедельных субботников в местах массового отдыха граждан на территории «Кумысной поляны» в рамках акции «Зеленая весна - 2025». Всего в субботниках приняло участие более 5 000 человек. Осуществлялась уборка мест отдыха, придорожных полос и прилегающих к ним зеленых зон, проведена посадка саженцев березы, рябины и сирени. </w:t>
      </w:r>
    </w:p>
    <w:p w14:paraId="2ACD0ABE"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19 апреля 2025 года в селе Елшанка Воскресенского района АНО «Экологизатор» проведена акция «Водорослям крышка!» по выпуску 35000 мальков травоядных рыб. Проект «Водорослям крышка. Амбассадоры рек» реализуется при поддержке Фонда президентских грантов. Для весеннего выпуска силами школьников и дошколят области удалось собрать более 8 тонн пластиковых крышек на переработку. На полученные средства были закуплены мальки травоядных рыб, которые были выпущены в Волгу. </w:t>
      </w:r>
    </w:p>
    <w:p w14:paraId="1721D4A5"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24 апреля - 25 апреля 2025 года в Саратове на площадке СГТУ имени Гагарина </w:t>
      </w:r>
      <w:proofErr w:type="spellStart"/>
      <w:r w:rsidRPr="003E79D8">
        <w:rPr>
          <w:rFonts w:ascii="PT Astra Serif" w:hAnsi="PT Astra Serif"/>
          <w:sz w:val="28"/>
          <w:szCs w:val="28"/>
        </w:rPr>
        <w:t>Ю.А</w:t>
      </w:r>
      <w:proofErr w:type="spellEnd"/>
      <w:r w:rsidRPr="003E79D8">
        <w:rPr>
          <w:rFonts w:ascii="PT Astra Serif" w:hAnsi="PT Astra Serif"/>
          <w:sz w:val="28"/>
          <w:szCs w:val="28"/>
        </w:rPr>
        <w:t>. состоялась 12 международная научно-практическая конференция «Экологические проблемы промышленных городов». В ней приняли участие представители региональных министерств и федеральных ведомств, экологических организаций, ученые из вузов и профильных научно-исследовательских институтов регионов РФ, студенты, магистранты, аспиранты, иностранные обучающиеся из Казахстана, Алжира, Египта и эковолонтеры. Основная цель - создать площадку для открытой дискуссии представителей научного сообщества, власти, общественности и бизнеса с разработкой плана конкретных мер по улучшению качества окружающей среды на основе принципов устойчивого развития. По итогам конференции лучшие работы участников мероприятия будут опубликованы в ежегодном научном сборнике.</w:t>
      </w:r>
    </w:p>
    <w:p w14:paraId="07E78B92"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25 апреля 2025 года в ГБУ </w:t>
      </w:r>
      <w:proofErr w:type="spellStart"/>
      <w:r w:rsidRPr="003E79D8">
        <w:rPr>
          <w:rFonts w:ascii="PT Astra Serif" w:hAnsi="PT Astra Serif"/>
          <w:sz w:val="28"/>
          <w:szCs w:val="28"/>
        </w:rPr>
        <w:t>СОДО</w:t>
      </w:r>
      <w:proofErr w:type="spellEnd"/>
      <w:r w:rsidRPr="003E79D8">
        <w:rPr>
          <w:rFonts w:ascii="PT Astra Serif" w:hAnsi="PT Astra Serif"/>
          <w:sz w:val="28"/>
          <w:szCs w:val="28"/>
        </w:rPr>
        <w:t xml:space="preserve"> «</w:t>
      </w:r>
      <w:proofErr w:type="spellStart"/>
      <w:r w:rsidRPr="003E79D8">
        <w:rPr>
          <w:rFonts w:ascii="PT Astra Serif" w:hAnsi="PT Astra Serif"/>
          <w:sz w:val="28"/>
          <w:szCs w:val="28"/>
        </w:rPr>
        <w:t>ОЦЭКИТ</w:t>
      </w:r>
      <w:proofErr w:type="spellEnd"/>
      <w:r w:rsidRPr="003E79D8">
        <w:rPr>
          <w:rFonts w:ascii="PT Astra Serif" w:hAnsi="PT Astra Serif"/>
          <w:sz w:val="28"/>
          <w:szCs w:val="28"/>
        </w:rPr>
        <w:t>» при участии министерства состоялся праздник для ребят дошкольного возраста «Всероссийский День Эколят». В мероприятии приняли участие воспитанники из трех дошкольных учреждений Саратова. Участники мероприятия через свое творчество показали, какие экологические проблемы их волнуют и как важно относиться к нашему общему дому с любовью и заботой. После выступления участники праздника на территории Центра высадили сеянцы лиственницы. Всего в мероприятиях Всероссийского «Дня Эколят» приняли участие 10 районов области и города Саратова, более 700 обучающихся из 32 образовательных организаций области.</w:t>
      </w:r>
    </w:p>
    <w:p w14:paraId="58E21A68"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Саратовская область ежегодно принимает участие в весенних и осенних мероприятиях по высадке деревьев. «Сад памяти» - ежегодная международная акция по высадке свыше 27 млн. деревьев в память о героях Великой Отечественной войны и в поддержку всех защитников Родины, отстаивающих честь и достоинство России в настоящее время. </w:t>
      </w:r>
    </w:p>
    <w:p w14:paraId="751BF4B9"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30 апреля 2025 года на территории Базарно-Карабулакского лесничества, вблизи с. Вязовка, прошла центральная акция «Сад памяти». На площади 5 тысяч квадратных метров участники мероприятия высадили 2 тысячи юных сеянцев сосны. В акции приняли участие сотрудники лесохозяйственных учреждений, студенты, эковолонтеры, а также представители экологической общественности региона, всего более 100 человек. Все весенние лесопосадочные работы 2025 года в Саратовской области были приурочены к </w:t>
      </w:r>
      <w:r w:rsidRPr="003E79D8">
        <w:rPr>
          <w:rFonts w:ascii="PT Astra Serif" w:hAnsi="PT Astra Serif"/>
          <w:sz w:val="28"/>
          <w:szCs w:val="28"/>
        </w:rPr>
        <w:lastRenderedPageBreak/>
        <w:t xml:space="preserve">акции «Сад Памяти». Весной было высажено около 9 миллионов штук сеянцев сосны, дуба, ясеня, в акции приняло участие около 8000 человек. Дополнительно на территории муниципальных районов области на 155 участках, высажено более 12 тысяч саженцев древесно-кустарниковых и плодовых пород. </w:t>
      </w:r>
    </w:p>
    <w:p w14:paraId="4C886174"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В начале мая 2025 года при участии министерства Студенты саратовских вузов активно включились в уборку родников, расположенных на территории памятника природы «Кумысная поляна». Студенты Саратовского государственного технического университета имени Гагарина </w:t>
      </w:r>
      <w:proofErr w:type="spellStart"/>
      <w:r w:rsidRPr="003E79D8">
        <w:rPr>
          <w:rFonts w:ascii="PT Astra Serif" w:hAnsi="PT Astra Serif"/>
          <w:sz w:val="28"/>
          <w:szCs w:val="28"/>
        </w:rPr>
        <w:t>Ю.А</w:t>
      </w:r>
      <w:proofErr w:type="spellEnd"/>
      <w:r w:rsidRPr="003E79D8">
        <w:rPr>
          <w:rFonts w:ascii="PT Astra Serif" w:hAnsi="PT Astra Serif"/>
          <w:sz w:val="28"/>
          <w:szCs w:val="28"/>
        </w:rPr>
        <w:t xml:space="preserve">. выбрали для уборки популярные места отдыха горожан родники – «Малиновый», «Татарский» и «Богатырский». Ребята из Саратовской государственной консерватории имени Л. В. Собинова также навели порядок – собрали мусор и опавшие листья у родника «Поющий». Студенты Саратовского государственного университета им. </w:t>
      </w:r>
      <w:proofErr w:type="spellStart"/>
      <w:r w:rsidRPr="003E79D8">
        <w:rPr>
          <w:rFonts w:ascii="PT Astra Serif" w:hAnsi="PT Astra Serif"/>
          <w:sz w:val="28"/>
          <w:szCs w:val="28"/>
        </w:rPr>
        <w:t>Н.Г</w:t>
      </w:r>
      <w:proofErr w:type="spellEnd"/>
      <w:r w:rsidRPr="003E79D8">
        <w:rPr>
          <w:rFonts w:ascii="PT Astra Serif" w:hAnsi="PT Astra Serif"/>
          <w:sz w:val="28"/>
          <w:szCs w:val="28"/>
        </w:rPr>
        <w:t xml:space="preserve">. Чернышевского прибрались на роднике «Серебряный». Молодежь и их наставники из Аграрного университета привели в порядок территорию у источника «Господь и самарянка» в Корольковом саду. Будущие врачи из Саратовского государственного медуниверситета имени </w:t>
      </w:r>
      <w:proofErr w:type="spellStart"/>
      <w:proofErr w:type="gramStart"/>
      <w:r w:rsidRPr="003E79D8">
        <w:rPr>
          <w:rFonts w:ascii="PT Astra Serif" w:hAnsi="PT Astra Serif"/>
          <w:sz w:val="28"/>
          <w:szCs w:val="28"/>
        </w:rPr>
        <w:t>В.И</w:t>
      </w:r>
      <w:proofErr w:type="spellEnd"/>
      <w:proofErr w:type="gramEnd"/>
      <w:r w:rsidRPr="003E79D8">
        <w:rPr>
          <w:rFonts w:ascii="PT Astra Serif" w:hAnsi="PT Astra Serif"/>
          <w:sz w:val="28"/>
          <w:szCs w:val="28"/>
        </w:rPr>
        <w:t xml:space="preserve"> Разумовского облагородили место отдыха вблизи родника у детского лагеря «Лесная Республика».</w:t>
      </w:r>
    </w:p>
    <w:p w14:paraId="270F8FE9"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16 мая 2025 года на площадке Областного центра экологии, краеведения и туризма при участии сотрудников министерства прошел Первый детский экологический форум Саратовской области. Участниками Форума стали 92 обучающихся из 11 районов Саратовской области и муниципальных районов города Саратова. А также 25 педагогов-наставников. Деловая программа Форума включала в себя панельную дискуссию «Будущее в наших руках» и работу по четырем трекам: «Ботаника», «Зоология», «Экология», «Наставник». Для собравшихся выступили представители общественных организаций. Например, волонтеры из «</w:t>
      </w:r>
      <w:proofErr w:type="spellStart"/>
      <w:r w:rsidRPr="003E79D8">
        <w:rPr>
          <w:rFonts w:ascii="PT Astra Serif" w:hAnsi="PT Astra Serif"/>
          <w:sz w:val="28"/>
          <w:szCs w:val="28"/>
        </w:rPr>
        <w:t>ЭкоСтанции</w:t>
      </w:r>
      <w:proofErr w:type="spellEnd"/>
      <w:r w:rsidRPr="003E79D8">
        <w:rPr>
          <w:rFonts w:ascii="PT Astra Serif" w:hAnsi="PT Astra Serif"/>
          <w:sz w:val="28"/>
          <w:szCs w:val="28"/>
        </w:rPr>
        <w:t xml:space="preserve"> - </w:t>
      </w:r>
      <w:proofErr w:type="spellStart"/>
      <w:r w:rsidRPr="003E79D8">
        <w:rPr>
          <w:rFonts w:ascii="PT Astra Serif" w:hAnsi="PT Astra Serif"/>
          <w:sz w:val="28"/>
          <w:szCs w:val="28"/>
        </w:rPr>
        <w:t>Лысогорье</w:t>
      </w:r>
      <w:proofErr w:type="spellEnd"/>
      <w:r w:rsidRPr="003E79D8">
        <w:rPr>
          <w:rFonts w:ascii="PT Astra Serif" w:hAnsi="PT Astra Serif"/>
          <w:sz w:val="28"/>
          <w:szCs w:val="28"/>
        </w:rPr>
        <w:t>» поделились опытом создания экотропы. А представители АНО «Экологизатор» рассказали о проектах «Водорослям крышка!» и «Культура вещей». Также ребят прослушали лекцию о животных, обитающих на территории Хвалынского национального парка. Кроме того, школьники обсудили экологические тренды, эксперименты и многое другое.</w:t>
      </w:r>
    </w:p>
    <w:p w14:paraId="1B109F49"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20 мая 2025 года , в день Волги, при участии министерства жители города приняли участие в экологической акции «Водорослям крышка» НКО «Экологизатор», направленной на раздельный сбор и сохранение биоразнообразия. В рамках мероприятия жители города выпустили в Волгу сто тысяч мальков белого амура, сазана и толстолобика. В рамках мероприятия участникам пояснили выбор именно этих видов рыб: белый амур, толстолобик и сазан - замечательные естественные мелиораторы, способствующие очищению водоемов. Они играют важную роль в улучшении экосистемы, поддержании стабильности водного баланса и очищении воды.</w:t>
      </w:r>
    </w:p>
    <w:p w14:paraId="67BB6B7D"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Ежегодно в области организуется проведение акции по очистке берегов водных объектов от мусора «Вода России», которая проходит в рамках федерального проекта «Вода России» нацпроекта «Экологическое благополучие». Целью акции является очистка берегов рек и водоемов, водоохранных зон и мест массового отдыха, популяризация идей бережного </w:t>
      </w:r>
      <w:r w:rsidRPr="003E79D8">
        <w:rPr>
          <w:rFonts w:ascii="PT Astra Serif" w:hAnsi="PT Astra Serif"/>
          <w:sz w:val="28"/>
          <w:szCs w:val="28"/>
        </w:rPr>
        <w:lastRenderedPageBreak/>
        <w:t>отношения к воде среди широких слоев населения. В акции приняли участие более 12 800 жителей Саратовской области. Силами добровольцев было убрано около 928 км береговой зоны и собрано более 5200 кубов мусора.</w:t>
      </w:r>
    </w:p>
    <w:p w14:paraId="1C178E8D"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4 июня 2025 года, в преддверии празднования Дня эколога и Всемирного дня окружающей среды, на территории мемориального комплекса Парка Победы на Соколовой горе в Саратове, высадили саженец Сталинградского тополя Победы. Уникальные саженцы Сталинградского тополя Победы, один из которых был передан в Саратовскую область, созданы методом микроклонального размножения в Волгоградском ботаническом саду при участии Всероссийского научно-исследовательского института лесной генетики, селекции и биотехнологии (г. Воронеж). Исходный генетический материал был взят от знаменитого «Тополя Победы», от дерева-долгожителя, уцелевшего в ходе Сталинградской битвы и произрастающего на волгоградской Аллее Героев. Тополь-герой посадили в 1936 году, он пережил войну, изрешеченный пулями и снарядами, выжил. В мероприятии по посадке уникального саженца приняли участие члены Правительства Саратовской области, руководители федеральных природоохранных структур, а также студенты саратовских вузов.</w:t>
      </w:r>
    </w:p>
    <w:p w14:paraId="4EC47F87"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4 июня 2025 года в этнографическом комплексе «Национальная деревня народов Саратовской области» на территории Парка Победы на Соколовой горе в Саратове прошло торжественное мероприятие, посвященное Дню Эколога и Всемирному Дню окружающей среды. В мероприятии приняли участие сотрудники Правительства области, руководители федеральных природоохранных структур, представители науки, культуры и экологической общественности. В рамках программы были проведены мастер-классы, </w:t>
      </w:r>
      <w:proofErr w:type="spellStart"/>
      <w:r w:rsidRPr="003E79D8">
        <w:rPr>
          <w:rFonts w:ascii="PT Astra Serif" w:hAnsi="PT Astra Serif"/>
          <w:sz w:val="28"/>
          <w:szCs w:val="28"/>
        </w:rPr>
        <w:t>экоуроки</w:t>
      </w:r>
      <w:proofErr w:type="spellEnd"/>
      <w:r w:rsidRPr="003E79D8">
        <w:rPr>
          <w:rFonts w:ascii="PT Astra Serif" w:hAnsi="PT Astra Serif"/>
          <w:sz w:val="28"/>
          <w:szCs w:val="28"/>
        </w:rPr>
        <w:t xml:space="preserve">, тематическая выставка. </w:t>
      </w:r>
    </w:p>
    <w:p w14:paraId="635D42BF"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С 6 по 27 сентября Саратовская область присоединилась к Всероссийскому экологическому субботнику «Зеленая Россия». Целью проекта является объединение всех слоев населения общей идеей сбережения природы, возрождения родных традиций, экологическое и патриотическое воспитание. Весь сентябрь </w:t>
      </w:r>
      <w:proofErr w:type="spellStart"/>
      <w:r w:rsidRPr="003E79D8">
        <w:rPr>
          <w:rFonts w:ascii="PT Astra Serif" w:hAnsi="PT Astra Serif"/>
          <w:sz w:val="28"/>
          <w:szCs w:val="28"/>
        </w:rPr>
        <w:t>экодобровольцы</w:t>
      </w:r>
      <w:proofErr w:type="spellEnd"/>
      <w:r w:rsidRPr="003E79D8">
        <w:rPr>
          <w:rFonts w:ascii="PT Astra Serif" w:hAnsi="PT Astra Serif"/>
          <w:sz w:val="28"/>
          <w:szCs w:val="28"/>
        </w:rPr>
        <w:t xml:space="preserve"> по всей стране участвовали в субботниках: высаживали саженцы, проводили уборку в городах, поселках, лесах, участвовали в </w:t>
      </w:r>
      <w:proofErr w:type="spellStart"/>
      <w:r w:rsidRPr="003E79D8">
        <w:rPr>
          <w:rFonts w:ascii="PT Astra Serif" w:hAnsi="PT Astra Serif"/>
          <w:sz w:val="28"/>
          <w:szCs w:val="28"/>
        </w:rPr>
        <w:t>экоуроках</w:t>
      </w:r>
      <w:proofErr w:type="spellEnd"/>
      <w:r w:rsidRPr="003E79D8">
        <w:rPr>
          <w:rFonts w:ascii="PT Astra Serif" w:hAnsi="PT Astra Serif"/>
          <w:sz w:val="28"/>
          <w:szCs w:val="28"/>
        </w:rPr>
        <w:t xml:space="preserve"> и </w:t>
      </w:r>
      <w:proofErr w:type="spellStart"/>
      <w:r w:rsidRPr="003E79D8">
        <w:rPr>
          <w:rFonts w:ascii="PT Astra Serif" w:hAnsi="PT Astra Serif"/>
          <w:sz w:val="28"/>
          <w:szCs w:val="28"/>
        </w:rPr>
        <w:t>экоконкурсах</w:t>
      </w:r>
      <w:proofErr w:type="spellEnd"/>
      <w:r w:rsidRPr="003E79D8">
        <w:rPr>
          <w:rFonts w:ascii="PT Astra Serif" w:hAnsi="PT Astra Serif"/>
          <w:sz w:val="28"/>
          <w:szCs w:val="28"/>
        </w:rPr>
        <w:t>. К масштабной уборке присоединились неравнодушные жители всех возрастов: учащиеся школ и детских садов, сотрудники органов исполнительной власти, администраций муниципальных образований, государственных и муниципальных бюджетных и казенных учреждений. В акции приняли участие более 5000 человек.</w:t>
      </w:r>
    </w:p>
    <w:p w14:paraId="0BD67806"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В 2025 году в седьмой раз регион принимал участие во Всероссийской акции «Сохраним лес», проводимой в рамках национального проекта «Экологическое благополучие». Основная цель мероприятий - поддержание идеи возрождения лесов, формирование бережного отношения к лесным богатствам нашей страны, воспитание экологической культуры населения. Всего в 2025 году в акции приняло участие порядка 3000 человек, которые высадили около 4 миллионов деревьев. С каждым годом число добровольцев только растет. </w:t>
      </w:r>
    </w:p>
    <w:p w14:paraId="3DC74177"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В целях экологического просвещения и информирования населения области также осуществляется выпуск ежегодного Доклада о состоянии и об </w:t>
      </w:r>
      <w:r w:rsidRPr="003E79D8">
        <w:rPr>
          <w:rFonts w:ascii="PT Astra Serif" w:hAnsi="PT Astra Serif"/>
          <w:sz w:val="28"/>
          <w:szCs w:val="28"/>
        </w:rPr>
        <w:lastRenderedPageBreak/>
        <w:t>охране окружающей среды Саратовской области, целью которого является обеспечение населения области объективной, достоверной информацией о качестве окружающей среды, состоянии природных ресурсов и их изменении в результате хозяйственной деятельности человека. Электронная версия доклада размещается на сайте министерства природных ресурсов и экологии области для общего доступа.</w:t>
      </w:r>
    </w:p>
    <w:p w14:paraId="2027506B"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В рамках взаимодействия государства и общества, реализован механизм учета общественного мнения при принятии государственными органами решений. Таким органом является Общественный совет при министерстве природных ресурсов и экологии Саратовской области. В состав Общественного совета входят представители региональных некоммерческих организаций и научного сообщества. В 2025 году было проведено 4 заседания Совета, на которых были рассмотрены вопросы о ходе реализации программных мероприятий и национального проекта «Экологическое благополучие» на территории Саратовской области в 2025 году и проведение экологических мероприятий на территории области. </w:t>
      </w:r>
    </w:p>
    <w:p w14:paraId="1F44D8B6"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В рамках программных мероприятий на территории области организована работа 16 школьных лесничеств, в них задействовано 202 человека в возрасте от 11 до 16 лет. Наиболее активными школьными лесничествами являются школьные лесничества из р.п Лысые горы, р.п. Базарный Карабулак, г. Вольска, с. Старая </w:t>
      </w:r>
      <w:proofErr w:type="spellStart"/>
      <w:r w:rsidRPr="003E79D8">
        <w:rPr>
          <w:rFonts w:ascii="PT Astra Serif" w:hAnsi="PT Astra Serif"/>
          <w:sz w:val="28"/>
          <w:szCs w:val="28"/>
        </w:rPr>
        <w:t>Порубёжка</w:t>
      </w:r>
      <w:proofErr w:type="spellEnd"/>
      <w:r w:rsidRPr="003E79D8">
        <w:rPr>
          <w:rFonts w:ascii="PT Astra Serif" w:hAnsi="PT Astra Serif"/>
          <w:sz w:val="28"/>
          <w:szCs w:val="28"/>
        </w:rPr>
        <w:t xml:space="preserve"> Пугачёвского района, с. </w:t>
      </w:r>
      <w:proofErr w:type="spellStart"/>
      <w:r w:rsidRPr="003E79D8">
        <w:rPr>
          <w:rFonts w:ascii="PT Astra Serif" w:hAnsi="PT Astra Serif"/>
          <w:sz w:val="28"/>
          <w:szCs w:val="28"/>
        </w:rPr>
        <w:t>Дьяковка</w:t>
      </w:r>
      <w:proofErr w:type="spellEnd"/>
      <w:r w:rsidRPr="003E79D8">
        <w:rPr>
          <w:rFonts w:ascii="PT Astra Serif" w:hAnsi="PT Astra Serif"/>
          <w:sz w:val="28"/>
          <w:szCs w:val="28"/>
        </w:rPr>
        <w:t xml:space="preserve"> Краснокутского района. Непосредственное взаимодействие со школьниками осуществляют 14 главных лесничих области, которые в течение всего учебного года проводят открытые тематические уроки, организуют конкурсы на лучшее школьное лесничество. </w:t>
      </w:r>
    </w:p>
    <w:p w14:paraId="2F3A8EAB"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В 2025 году итоги Областного слета школьных лесничеств были подведены в городе Хвалынске Саратовской области. Мероприятие проходило с 10 по 12 сентября на территории национального парка «Хвалынский». Жюри оценивало работы в сфере ориентирования на местности, на знания растений, грибов и животных, творческие способности и креативный подход к решению экологических задач. Лидеры и активные участники команд были награждены ценными призами и грамотами.</w:t>
      </w:r>
    </w:p>
    <w:p w14:paraId="747FF3B6"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С 2025 года Всероссийская акция по сбору макулатуры «#</w:t>
      </w:r>
      <w:proofErr w:type="spellStart"/>
      <w:r w:rsidRPr="003E79D8">
        <w:rPr>
          <w:rFonts w:ascii="PT Astra Serif" w:hAnsi="PT Astra Serif"/>
          <w:sz w:val="28"/>
          <w:szCs w:val="28"/>
        </w:rPr>
        <w:t>БумБатл</w:t>
      </w:r>
      <w:proofErr w:type="spellEnd"/>
      <w:r w:rsidRPr="003E79D8">
        <w:rPr>
          <w:rFonts w:ascii="PT Astra Serif" w:hAnsi="PT Astra Serif"/>
          <w:sz w:val="28"/>
          <w:szCs w:val="28"/>
        </w:rPr>
        <w:t>» стала круглогодичной. Основная цель проекта - экологическое образование и просвещение населения, воспитание ответственного потребления, проявление активной гражданской позиции и стремление сохранить окружающую среду для последующих поколений. 11 декабря 2025 года были подведены итоги участия во Всероссийской акции «</w:t>
      </w:r>
      <w:proofErr w:type="spellStart"/>
      <w:r w:rsidRPr="003E79D8">
        <w:rPr>
          <w:rFonts w:ascii="PT Astra Serif" w:hAnsi="PT Astra Serif"/>
          <w:sz w:val="28"/>
          <w:szCs w:val="28"/>
        </w:rPr>
        <w:t>БумБатл</w:t>
      </w:r>
      <w:proofErr w:type="spellEnd"/>
      <w:r w:rsidRPr="003E79D8">
        <w:rPr>
          <w:rFonts w:ascii="PT Astra Serif" w:hAnsi="PT Astra Serif"/>
          <w:sz w:val="28"/>
          <w:szCs w:val="28"/>
        </w:rPr>
        <w:t xml:space="preserve">». Школы, детские сады, колледжи и вузы присоединились к экологическому проекту с первого дня его работы для того, чтобы внести свой вклад в экологию региона и привлечь внимание жителей к вопросам осознанного и разумного потребления природных ресурсов. Особо активно в акцию включились обучающиеся Ершовского, Ртищевского, Красноармейского, Базарно-Карабулакского, Петровского и Балашовского районов области. Участники акции из Саратовской области собрали и сдали на переработку более 16 тонн макулатуры. </w:t>
      </w:r>
    </w:p>
    <w:p w14:paraId="6BB572CB"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Экологическое просвещение, обеспечение экологической информацией населения Саратовской области в средствах массовой информации (СМИ) </w:t>
      </w:r>
      <w:r w:rsidRPr="003E79D8">
        <w:rPr>
          <w:rFonts w:ascii="PT Astra Serif" w:hAnsi="PT Astra Serif"/>
          <w:sz w:val="28"/>
          <w:szCs w:val="28"/>
        </w:rPr>
        <w:lastRenderedPageBreak/>
        <w:t>занимает существенное место в работе министерства природных ресурсов и экологии Саратовской области.</w:t>
      </w:r>
    </w:p>
    <w:p w14:paraId="2B01C252"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Для объективного донесения до граждан тематической профессиональной информации в 2025 году было организовано 31 пресс-мероприятие: это пресс-выезды, пресс и онлайн-конференции, брифинги, прямые эфиры, телевизионные и радиоинтервью, круглые столы. </w:t>
      </w:r>
    </w:p>
    <w:p w14:paraId="7D887EE7"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В 2025 году в региональных и федеральных СМИ было опубликовано более 5252 информационных сообщений экологической направленности и о деятельности министерства. </w:t>
      </w:r>
    </w:p>
    <w:p w14:paraId="7879702E"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В целях информированности населения об экологической ситуации и деятельности ведомства на сайтах министерства размещено 640 пресс-релизов и сообщений информационного и пропагандистского характера. </w:t>
      </w:r>
    </w:p>
    <w:p w14:paraId="65D1961C"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На официальном сайте Правительства Саратовской области – 171.</w:t>
      </w:r>
    </w:p>
    <w:p w14:paraId="3478A4B0"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90 новостей, инициированных министерством природных ресурсов и экологии области, вызвали наибольший интерес у читателей и вошли в ТОП-Яндекс в поисковой системе сети Интернет. Глава ведомства и представители министерства в целях оперативного донесения до граждан актуальной информации в СМИ предоставили 247 комментариев.</w:t>
      </w:r>
    </w:p>
    <w:p w14:paraId="1352B8BA"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Вышло 66 экологических сюжетов в эфире региональных телеканалов, подготовлены и вышли в эфир 8 сюжетов на федеральных телеканалах РФ.</w:t>
      </w:r>
    </w:p>
    <w:p w14:paraId="6785614E"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Ежегодно на протяжении всего противопожарного сезона с апреля по ноябрь проводится обширная противопожарная агитационная пропаганда. Транслируются ТВ ролики на всех саратовских ТВ-каналах, раздаются информационные листовки в рамках патрулирования противопожарных рейдов.</w:t>
      </w:r>
    </w:p>
    <w:p w14:paraId="02F2CDD9"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В 2025 году по противопожарной агитации транслировались 317 телевизионных роликов, в Интернете опубликовано 2852 сообщения. Даны пояснения и найдено решение проблем по 12 критическим материалам в СМИ. На официальном сайте «Контента» для освещения новостей по национальному проекту «Экологическое благополучие» опубликовано 95 новостей.</w:t>
      </w:r>
    </w:p>
    <w:p w14:paraId="37CFAF83"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В официальных группах министерства в социальных сетях опубликовано порядка 1780 постов. Количество подписчиков в социальных сетях главы ведомства и министерства «ВКонтакте», «Одноклассники» и в мессенджере «Телеграм-канал» за год увеличилось на 1742, а общее составило 8473. </w:t>
      </w:r>
    </w:p>
    <w:p w14:paraId="358CF87A"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Кроме того, в рабочем режиме автоматической системы мониторинга и анализа СМИ и соцмедиа «Медиалогия» в программе «Инцидент» ведется постоянная информационно-разъяснительная работа с жителями области. В общей сложности в 2025 году в программе рассмотрено 765 инцидентов.</w:t>
      </w:r>
    </w:p>
    <w:p w14:paraId="7C254086"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 xml:space="preserve">Приоритетными задачами министерства природных ресурсов и экологии области в области экологического образования, пропаганды экологических знаний, работы с общественными организациями и средствами массовой информации в 2026 году являются: </w:t>
      </w:r>
    </w:p>
    <w:p w14:paraId="3C295D93"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1.</w:t>
      </w:r>
      <w:r w:rsidRPr="003E79D8">
        <w:rPr>
          <w:rFonts w:ascii="PT Astra Serif" w:hAnsi="PT Astra Serif"/>
          <w:sz w:val="28"/>
          <w:szCs w:val="28"/>
        </w:rPr>
        <w:tab/>
        <w:t>Организация и проведение экологических акций и мероприятий при участии добровольцев (волонтеров);</w:t>
      </w:r>
    </w:p>
    <w:p w14:paraId="19F7A4D9" w14:textId="77777777" w:rsidR="003E79D8" w:rsidRPr="003E79D8" w:rsidRDefault="003E79D8" w:rsidP="003E79D8">
      <w:pPr>
        <w:tabs>
          <w:tab w:val="left" w:pos="851"/>
        </w:tabs>
        <w:rPr>
          <w:rFonts w:ascii="PT Astra Serif" w:hAnsi="PT Astra Serif"/>
          <w:sz w:val="28"/>
          <w:szCs w:val="28"/>
        </w:rPr>
      </w:pPr>
      <w:r w:rsidRPr="003E79D8">
        <w:rPr>
          <w:rFonts w:ascii="PT Astra Serif" w:hAnsi="PT Astra Serif"/>
          <w:sz w:val="28"/>
          <w:szCs w:val="28"/>
        </w:rPr>
        <w:t>2.</w:t>
      </w:r>
      <w:r w:rsidRPr="003E79D8">
        <w:rPr>
          <w:rFonts w:ascii="PT Astra Serif" w:hAnsi="PT Astra Serif"/>
          <w:sz w:val="28"/>
          <w:szCs w:val="28"/>
        </w:rPr>
        <w:tab/>
        <w:t>Организация и проведение открытых уроков, конференций, брифингов, круглых столов на экологическую тематику;</w:t>
      </w:r>
    </w:p>
    <w:p w14:paraId="5F097595" w14:textId="70178BC5" w:rsidR="00E544E6" w:rsidRPr="00A82DBB" w:rsidRDefault="003E79D8" w:rsidP="003E79D8">
      <w:pPr>
        <w:tabs>
          <w:tab w:val="left" w:pos="851"/>
        </w:tabs>
        <w:rPr>
          <w:rFonts w:ascii="PT Astra Serif" w:hAnsi="PT Astra Serif"/>
          <w:sz w:val="28"/>
          <w:szCs w:val="28"/>
        </w:rPr>
      </w:pPr>
      <w:r w:rsidRPr="003E79D8">
        <w:rPr>
          <w:rFonts w:ascii="PT Astra Serif" w:hAnsi="PT Astra Serif"/>
          <w:sz w:val="28"/>
          <w:szCs w:val="28"/>
        </w:rPr>
        <w:t>3.</w:t>
      </w:r>
      <w:r w:rsidRPr="003E79D8">
        <w:rPr>
          <w:rFonts w:ascii="PT Astra Serif" w:hAnsi="PT Astra Serif"/>
          <w:sz w:val="28"/>
          <w:szCs w:val="28"/>
        </w:rPr>
        <w:tab/>
        <w:t>Информирование населения об экологической ситуации и деятельности министерства через СМИ, социальные сети и официальный сайт.</w:t>
      </w:r>
    </w:p>
    <w:sectPr w:rsidR="00E544E6" w:rsidRPr="00A82DBB" w:rsidSect="00E544E6">
      <w:footerReference w:type="default" r:id="rId7"/>
      <w:pgSz w:w="11906" w:h="16838"/>
      <w:pgMar w:top="567" w:right="851" w:bottom="851" w:left="1559" w:header="0" w:footer="284"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7F7C2" w14:textId="77777777" w:rsidR="006F385B" w:rsidRDefault="006F385B">
      <w:r>
        <w:separator/>
      </w:r>
    </w:p>
  </w:endnote>
  <w:endnote w:type="continuationSeparator" w:id="0">
    <w:p w14:paraId="14B123AA" w14:textId="77777777" w:rsidR="006F385B" w:rsidRDefault="006F38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PT Astra Serif">
    <w:altName w:val="Times New Roman"/>
    <w:panose1 w:val="020A0603040505020204"/>
    <w:charset w:val="CC"/>
    <w:family w:val="roman"/>
    <w:pitch w:val="variable"/>
    <w:sig w:usb0="A00002EF" w:usb1="5000204B" w:usb2="0000002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6D109" w14:textId="77777777" w:rsidR="00BF7316" w:rsidRDefault="00506739">
    <w:pPr>
      <w:pStyle w:val="afa"/>
      <w:jc w:val="right"/>
    </w:pPr>
    <w:r>
      <w:fldChar w:fldCharType="begin"/>
    </w:r>
    <w:r w:rsidR="002B6220">
      <w:instrText>PAGE</w:instrText>
    </w:r>
    <w:r>
      <w:fldChar w:fldCharType="separate"/>
    </w:r>
    <w:r w:rsidR="00F95D77">
      <w:rPr>
        <w:noProof/>
      </w:rPr>
      <w:t>21</w:t>
    </w:r>
    <w:r>
      <w:fldChar w:fldCharType="end"/>
    </w:r>
  </w:p>
  <w:p w14:paraId="53AE0DE6" w14:textId="77777777" w:rsidR="00BF7316" w:rsidRDefault="00BF7316">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08599" w14:textId="77777777" w:rsidR="006F385B" w:rsidRDefault="006F385B">
      <w:r>
        <w:separator/>
      </w:r>
    </w:p>
  </w:footnote>
  <w:footnote w:type="continuationSeparator" w:id="0">
    <w:p w14:paraId="5EEF8D65" w14:textId="77777777" w:rsidR="006F385B" w:rsidRDefault="006F38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BBAA153A"/>
    <w:lvl w:ilvl="0">
      <w:start w:val="1"/>
      <w:numFmt w:val="none"/>
      <w:suff w:val="nothing"/>
      <w:lvlText w:val=""/>
      <w:lvlJc w:val="left"/>
      <w:pPr>
        <w:tabs>
          <w:tab w:val="left" w:pos="0"/>
        </w:tabs>
      </w:pPr>
      <w:rPr>
        <w:rFonts w:cs="Times New Roman"/>
        <w:lang w:val="ru-RU"/>
      </w:rPr>
    </w:lvl>
    <w:lvl w:ilvl="1">
      <w:start w:val="1"/>
      <w:numFmt w:val="none"/>
      <w:suff w:val="nothing"/>
      <w:lvlText w:val=""/>
      <w:lvlJc w:val="left"/>
      <w:pPr>
        <w:tabs>
          <w:tab w:val="left" w:pos="0"/>
        </w:tabs>
      </w:pPr>
      <w:rPr>
        <w:rFonts w:cs="Times New Roman"/>
      </w:rPr>
    </w:lvl>
    <w:lvl w:ilvl="2">
      <w:start w:val="1"/>
      <w:numFmt w:val="none"/>
      <w:suff w:val="nothing"/>
      <w:lvlText w:val=""/>
      <w:lvlJc w:val="left"/>
      <w:pPr>
        <w:tabs>
          <w:tab w:val="left" w:pos="0"/>
        </w:tabs>
      </w:pPr>
      <w:rPr>
        <w:rFonts w:cs="Times New Roman"/>
      </w:rPr>
    </w:lvl>
    <w:lvl w:ilvl="3">
      <w:start w:val="1"/>
      <w:numFmt w:val="none"/>
      <w:suff w:val="nothing"/>
      <w:lvlText w:val=""/>
      <w:lvlJc w:val="left"/>
      <w:pPr>
        <w:tabs>
          <w:tab w:val="left" w:pos="0"/>
        </w:tabs>
      </w:pPr>
      <w:rPr>
        <w:rFonts w:cs="Times New Roman"/>
      </w:rPr>
    </w:lvl>
    <w:lvl w:ilvl="4">
      <w:start w:val="1"/>
      <w:numFmt w:val="none"/>
      <w:suff w:val="nothing"/>
      <w:lvlText w:val=""/>
      <w:lvlJc w:val="left"/>
      <w:pPr>
        <w:tabs>
          <w:tab w:val="left" w:pos="0"/>
        </w:tabs>
      </w:pPr>
      <w:rPr>
        <w:rFonts w:cs="Times New Roman"/>
      </w:rPr>
    </w:lvl>
    <w:lvl w:ilvl="5">
      <w:start w:val="1"/>
      <w:numFmt w:val="none"/>
      <w:suff w:val="nothing"/>
      <w:lvlText w:val=""/>
      <w:lvlJc w:val="left"/>
      <w:pPr>
        <w:tabs>
          <w:tab w:val="left" w:pos="0"/>
        </w:tabs>
      </w:pPr>
      <w:rPr>
        <w:rFonts w:cs="Times New Roman"/>
      </w:rPr>
    </w:lvl>
    <w:lvl w:ilvl="6">
      <w:start w:val="1"/>
      <w:numFmt w:val="none"/>
      <w:suff w:val="nothing"/>
      <w:lvlText w:val=""/>
      <w:lvlJc w:val="left"/>
      <w:pPr>
        <w:tabs>
          <w:tab w:val="left" w:pos="0"/>
        </w:tabs>
      </w:pPr>
      <w:rPr>
        <w:rFonts w:cs="Times New Roman"/>
      </w:rPr>
    </w:lvl>
    <w:lvl w:ilvl="7">
      <w:start w:val="1"/>
      <w:numFmt w:val="none"/>
      <w:suff w:val="nothing"/>
      <w:lvlText w:val=""/>
      <w:lvlJc w:val="left"/>
      <w:pPr>
        <w:tabs>
          <w:tab w:val="left" w:pos="0"/>
        </w:tabs>
      </w:pPr>
      <w:rPr>
        <w:rFonts w:cs="Times New Roman"/>
      </w:rPr>
    </w:lvl>
    <w:lvl w:ilvl="8">
      <w:start w:val="1"/>
      <w:numFmt w:val="none"/>
      <w:suff w:val="nothing"/>
      <w:lvlText w:val=""/>
      <w:lvlJc w:val="left"/>
      <w:pPr>
        <w:tabs>
          <w:tab w:val="left" w:pos="0"/>
        </w:tabs>
      </w:pPr>
      <w:rPr>
        <w:rFonts w:cs="Times New Roman"/>
      </w:rPr>
    </w:lvl>
  </w:abstractNum>
  <w:abstractNum w:abstractNumId="1" w15:restartNumberingAfterBreak="0">
    <w:nsid w:val="047414AE"/>
    <w:multiLevelType w:val="hybridMultilevel"/>
    <w:tmpl w:val="6FC43ACA"/>
    <w:lvl w:ilvl="0" w:tplc="FFFFFFFF">
      <w:start w:val="1"/>
      <w:numFmt w:val="decimal"/>
      <w:lvlText w:val="%1."/>
      <w:lvlJc w:val="left"/>
      <w:pPr>
        <w:ind w:left="1070"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 w15:restartNumberingAfterBreak="0">
    <w:nsid w:val="0B7C412D"/>
    <w:multiLevelType w:val="hybridMultilevel"/>
    <w:tmpl w:val="76F4DD3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15:restartNumberingAfterBreak="0">
    <w:nsid w:val="0C500566"/>
    <w:multiLevelType w:val="hybridMultilevel"/>
    <w:tmpl w:val="FAF66D16"/>
    <w:lvl w:ilvl="0" w:tplc="CB5C259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15:restartNumberingAfterBreak="0">
    <w:nsid w:val="22A25D3F"/>
    <w:multiLevelType w:val="hybridMultilevel"/>
    <w:tmpl w:val="FCB66A4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15:restartNumberingAfterBreak="0">
    <w:nsid w:val="304A5564"/>
    <w:multiLevelType w:val="hybridMultilevel"/>
    <w:tmpl w:val="43383BFA"/>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15:restartNumberingAfterBreak="0">
    <w:nsid w:val="357765AA"/>
    <w:multiLevelType w:val="multilevel"/>
    <w:tmpl w:val="F91074E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36C61734"/>
    <w:multiLevelType w:val="hybridMultilevel"/>
    <w:tmpl w:val="CD7CB0B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15:restartNumberingAfterBreak="0">
    <w:nsid w:val="3AB56093"/>
    <w:multiLevelType w:val="hybridMultilevel"/>
    <w:tmpl w:val="2188A270"/>
    <w:lvl w:ilvl="0" w:tplc="FFFFFFFF">
      <w:start w:val="1"/>
      <w:numFmt w:val="decimal"/>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9" w15:restartNumberingAfterBreak="0">
    <w:nsid w:val="3EB85B7B"/>
    <w:multiLevelType w:val="multilevel"/>
    <w:tmpl w:val="787CC53E"/>
    <w:lvl w:ilvl="0">
      <w:start w:val="1"/>
      <w:numFmt w:val="decimal"/>
      <w:lvlText w:val="%1)"/>
      <w:lvlJc w:val="left"/>
      <w:pPr>
        <w:tabs>
          <w:tab w:val="num" w:pos="786"/>
        </w:tabs>
        <w:ind w:left="786"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3FAA1555"/>
    <w:multiLevelType w:val="hybridMultilevel"/>
    <w:tmpl w:val="33EE887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15:restartNumberingAfterBreak="0">
    <w:nsid w:val="59B9548E"/>
    <w:multiLevelType w:val="hybridMultilevel"/>
    <w:tmpl w:val="10E8129A"/>
    <w:lvl w:ilvl="0" w:tplc="98687DC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5AC16CE8"/>
    <w:multiLevelType w:val="hybridMultilevel"/>
    <w:tmpl w:val="06541DC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9C6193F"/>
    <w:multiLevelType w:val="hybridMultilevel"/>
    <w:tmpl w:val="B686AAD2"/>
    <w:lvl w:ilvl="0" w:tplc="797AB41A">
      <w:start w:val="1"/>
      <w:numFmt w:val="decimal"/>
      <w:lvlText w:val="%1."/>
      <w:lvlJc w:val="left"/>
      <w:pPr>
        <w:ind w:left="786"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2323936"/>
    <w:multiLevelType w:val="hybridMultilevel"/>
    <w:tmpl w:val="1982F72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15:restartNumberingAfterBreak="0">
    <w:nsid w:val="74536217"/>
    <w:multiLevelType w:val="hybridMultilevel"/>
    <w:tmpl w:val="06541D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B246DF3"/>
    <w:multiLevelType w:val="hybridMultilevel"/>
    <w:tmpl w:val="9BE2C8F8"/>
    <w:lvl w:ilvl="0" w:tplc="5D6677C0">
      <w:start w:val="1"/>
      <w:numFmt w:val="decimal"/>
      <w:lvlText w:val="%1."/>
      <w:lvlJc w:val="left"/>
      <w:pPr>
        <w:ind w:left="1099" w:hanging="3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7C62079A"/>
    <w:multiLevelType w:val="hybridMultilevel"/>
    <w:tmpl w:val="2188A2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16cid:durableId="858130612">
    <w:abstractNumId w:val="9"/>
  </w:num>
  <w:num w:numId="2" w16cid:durableId="1165978505">
    <w:abstractNumId w:val="6"/>
  </w:num>
  <w:num w:numId="3" w16cid:durableId="1331909895">
    <w:abstractNumId w:val="3"/>
  </w:num>
  <w:num w:numId="4" w16cid:durableId="541140758">
    <w:abstractNumId w:val="7"/>
  </w:num>
  <w:num w:numId="5" w16cid:durableId="119881556">
    <w:abstractNumId w:val="2"/>
  </w:num>
  <w:num w:numId="6" w16cid:durableId="878975790">
    <w:abstractNumId w:val="4"/>
  </w:num>
  <w:num w:numId="7" w16cid:durableId="1268730461">
    <w:abstractNumId w:val="16"/>
  </w:num>
  <w:num w:numId="8" w16cid:durableId="1297369766">
    <w:abstractNumId w:val="14"/>
  </w:num>
  <w:num w:numId="9" w16cid:durableId="123622495">
    <w:abstractNumId w:val="5"/>
  </w:num>
  <w:num w:numId="10" w16cid:durableId="1505587522">
    <w:abstractNumId w:val="13"/>
  </w:num>
  <w:num w:numId="11" w16cid:durableId="19495805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70809172">
    <w:abstractNumId w:val="15"/>
  </w:num>
  <w:num w:numId="13" w16cid:durableId="1712807824">
    <w:abstractNumId w:val="12"/>
  </w:num>
  <w:num w:numId="14" w16cid:durableId="11734472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80623502">
    <w:abstractNumId w:val="17"/>
  </w:num>
  <w:num w:numId="16" w16cid:durableId="980960111">
    <w:abstractNumId w:val="1"/>
  </w:num>
  <w:num w:numId="17" w16cid:durableId="93207686">
    <w:abstractNumId w:val="8"/>
  </w:num>
  <w:num w:numId="18" w16cid:durableId="916355674">
    <w:abstractNumId w:val="11"/>
  </w:num>
  <w:num w:numId="19" w16cid:durableId="61945700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316"/>
    <w:rsid w:val="00013355"/>
    <w:rsid w:val="00020CBB"/>
    <w:rsid w:val="00020EB9"/>
    <w:rsid w:val="00022189"/>
    <w:rsid w:val="000312D7"/>
    <w:rsid w:val="00031346"/>
    <w:rsid w:val="00045BBE"/>
    <w:rsid w:val="00050BD8"/>
    <w:rsid w:val="0007652D"/>
    <w:rsid w:val="00090108"/>
    <w:rsid w:val="000959AC"/>
    <w:rsid w:val="000A0710"/>
    <w:rsid w:val="000A1FA6"/>
    <w:rsid w:val="000F2FCD"/>
    <w:rsid w:val="00102661"/>
    <w:rsid w:val="001064EE"/>
    <w:rsid w:val="00111E51"/>
    <w:rsid w:val="0011229C"/>
    <w:rsid w:val="00143220"/>
    <w:rsid w:val="001455CC"/>
    <w:rsid w:val="00147DEF"/>
    <w:rsid w:val="00154453"/>
    <w:rsid w:val="00157CCF"/>
    <w:rsid w:val="0016472E"/>
    <w:rsid w:val="00173B43"/>
    <w:rsid w:val="001756BE"/>
    <w:rsid w:val="00182DE4"/>
    <w:rsid w:val="00184E20"/>
    <w:rsid w:val="0019001C"/>
    <w:rsid w:val="001908FA"/>
    <w:rsid w:val="001A32BA"/>
    <w:rsid w:val="001A617F"/>
    <w:rsid w:val="001A64C5"/>
    <w:rsid w:val="001B2107"/>
    <w:rsid w:val="001C0826"/>
    <w:rsid w:val="001D21E0"/>
    <w:rsid w:val="001E61AD"/>
    <w:rsid w:val="001F2D5F"/>
    <w:rsid w:val="001F6745"/>
    <w:rsid w:val="00201D65"/>
    <w:rsid w:val="002150D1"/>
    <w:rsid w:val="002202E9"/>
    <w:rsid w:val="00223359"/>
    <w:rsid w:val="00227076"/>
    <w:rsid w:val="002322E8"/>
    <w:rsid w:val="00232F24"/>
    <w:rsid w:val="00251756"/>
    <w:rsid w:val="00253E9C"/>
    <w:rsid w:val="00266CB8"/>
    <w:rsid w:val="0027272D"/>
    <w:rsid w:val="002732E2"/>
    <w:rsid w:val="00281070"/>
    <w:rsid w:val="002819BA"/>
    <w:rsid w:val="0028229E"/>
    <w:rsid w:val="002944DD"/>
    <w:rsid w:val="002B073D"/>
    <w:rsid w:val="002B0FC0"/>
    <w:rsid w:val="002B25D2"/>
    <w:rsid w:val="002B6220"/>
    <w:rsid w:val="002C52EF"/>
    <w:rsid w:val="002E40D4"/>
    <w:rsid w:val="00307F92"/>
    <w:rsid w:val="00313101"/>
    <w:rsid w:val="00314CD0"/>
    <w:rsid w:val="00323EF3"/>
    <w:rsid w:val="00331653"/>
    <w:rsid w:val="00347CE5"/>
    <w:rsid w:val="00361F30"/>
    <w:rsid w:val="0038133C"/>
    <w:rsid w:val="00394F3C"/>
    <w:rsid w:val="003A634F"/>
    <w:rsid w:val="003B5B0B"/>
    <w:rsid w:val="003E2BCF"/>
    <w:rsid w:val="003E79D8"/>
    <w:rsid w:val="00401E6A"/>
    <w:rsid w:val="00414F86"/>
    <w:rsid w:val="00425B3E"/>
    <w:rsid w:val="00426FA1"/>
    <w:rsid w:val="0044095E"/>
    <w:rsid w:val="004528D1"/>
    <w:rsid w:val="0047070F"/>
    <w:rsid w:val="00477F9D"/>
    <w:rsid w:val="004810D7"/>
    <w:rsid w:val="004A4F8F"/>
    <w:rsid w:val="004A5E26"/>
    <w:rsid w:val="004B0DB9"/>
    <w:rsid w:val="004C21DC"/>
    <w:rsid w:val="004C5B15"/>
    <w:rsid w:val="004D7316"/>
    <w:rsid w:val="004E1C5A"/>
    <w:rsid w:val="004F2FA5"/>
    <w:rsid w:val="00503321"/>
    <w:rsid w:val="00504169"/>
    <w:rsid w:val="00506739"/>
    <w:rsid w:val="00506C92"/>
    <w:rsid w:val="00523D5C"/>
    <w:rsid w:val="00532E9E"/>
    <w:rsid w:val="00536FF4"/>
    <w:rsid w:val="00562D28"/>
    <w:rsid w:val="005635B9"/>
    <w:rsid w:val="00564641"/>
    <w:rsid w:val="00582C84"/>
    <w:rsid w:val="00587B59"/>
    <w:rsid w:val="0059034F"/>
    <w:rsid w:val="00592159"/>
    <w:rsid w:val="005A6C8B"/>
    <w:rsid w:val="005A6D1F"/>
    <w:rsid w:val="005B1E06"/>
    <w:rsid w:val="005C0056"/>
    <w:rsid w:val="005C120A"/>
    <w:rsid w:val="005C1F45"/>
    <w:rsid w:val="005D25D9"/>
    <w:rsid w:val="005D3ECB"/>
    <w:rsid w:val="005E3073"/>
    <w:rsid w:val="006067F4"/>
    <w:rsid w:val="00614A9A"/>
    <w:rsid w:val="00614C32"/>
    <w:rsid w:val="00636924"/>
    <w:rsid w:val="00636D23"/>
    <w:rsid w:val="0064127B"/>
    <w:rsid w:val="00642DD6"/>
    <w:rsid w:val="00653448"/>
    <w:rsid w:val="00656C14"/>
    <w:rsid w:val="00660CD2"/>
    <w:rsid w:val="006616F5"/>
    <w:rsid w:val="00663AF3"/>
    <w:rsid w:val="0066733F"/>
    <w:rsid w:val="00682579"/>
    <w:rsid w:val="00694DB3"/>
    <w:rsid w:val="006B2400"/>
    <w:rsid w:val="006B56F8"/>
    <w:rsid w:val="006D1D1B"/>
    <w:rsid w:val="006F1987"/>
    <w:rsid w:val="006F385B"/>
    <w:rsid w:val="006F3AD0"/>
    <w:rsid w:val="00707633"/>
    <w:rsid w:val="00707A24"/>
    <w:rsid w:val="00726ACC"/>
    <w:rsid w:val="00726BA8"/>
    <w:rsid w:val="00731461"/>
    <w:rsid w:val="00731DF8"/>
    <w:rsid w:val="00741F7C"/>
    <w:rsid w:val="007474D7"/>
    <w:rsid w:val="00752ECE"/>
    <w:rsid w:val="0076076C"/>
    <w:rsid w:val="00762145"/>
    <w:rsid w:val="007958FD"/>
    <w:rsid w:val="007A0C00"/>
    <w:rsid w:val="007B50AD"/>
    <w:rsid w:val="007C0F95"/>
    <w:rsid w:val="007C6CED"/>
    <w:rsid w:val="007D1937"/>
    <w:rsid w:val="007D2A38"/>
    <w:rsid w:val="007E1965"/>
    <w:rsid w:val="007E58FC"/>
    <w:rsid w:val="00803E31"/>
    <w:rsid w:val="008047D7"/>
    <w:rsid w:val="008103F6"/>
    <w:rsid w:val="008171C1"/>
    <w:rsid w:val="0082642A"/>
    <w:rsid w:val="00833B9B"/>
    <w:rsid w:val="00833E59"/>
    <w:rsid w:val="00850FEE"/>
    <w:rsid w:val="00864D76"/>
    <w:rsid w:val="008676F0"/>
    <w:rsid w:val="00867EA6"/>
    <w:rsid w:val="00886C56"/>
    <w:rsid w:val="00887B4B"/>
    <w:rsid w:val="00891896"/>
    <w:rsid w:val="008A19B9"/>
    <w:rsid w:val="008A351A"/>
    <w:rsid w:val="008A3DB9"/>
    <w:rsid w:val="008C5539"/>
    <w:rsid w:val="008E59BF"/>
    <w:rsid w:val="008E5ECF"/>
    <w:rsid w:val="008F17F0"/>
    <w:rsid w:val="00911712"/>
    <w:rsid w:val="009143C9"/>
    <w:rsid w:val="00926CAE"/>
    <w:rsid w:val="009363C1"/>
    <w:rsid w:val="00950200"/>
    <w:rsid w:val="00951311"/>
    <w:rsid w:val="00961355"/>
    <w:rsid w:val="00975C45"/>
    <w:rsid w:val="00986086"/>
    <w:rsid w:val="009868F1"/>
    <w:rsid w:val="009A37F6"/>
    <w:rsid w:val="009A59DA"/>
    <w:rsid w:val="009B3EC6"/>
    <w:rsid w:val="009C55B5"/>
    <w:rsid w:val="009D7078"/>
    <w:rsid w:val="00A11060"/>
    <w:rsid w:val="00A113F5"/>
    <w:rsid w:val="00A211D4"/>
    <w:rsid w:val="00A421FB"/>
    <w:rsid w:val="00A42F7B"/>
    <w:rsid w:val="00A50C24"/>
    <w:rsid w:val="00A6653F"/>
    <w:rsid w:val="00A7210A"/>
    <w:rsid w:val="00A82DBB"/>
    <w:rsid w:val="00A84EFF"/>
    <w:rsid w:val="00A9330E"/>
    <w:rsid w:val="00AA0276"/>
    <w:rsid w:val="00AA36B6"/>
    <w:rsid w:val="00AA6707"/>
    <w:rsid w:val="00AC4897"/>
    <w:rsid w:val="00AE4EE1"/>
    <w:rsid w:val="00AF2D76"/>
    <w:rsid w:val="00B01247"/>
    <w:rsid w:val="00B07F68"/>
    <w:rsid w:val="00B101AC"/>
    <w:rsid w:val="00B10BDF"/>
    <w:rsid w:val="00B17750"/>
    <w:rsid w:val="00B212F4"/>
    <w:rsid w:val="00B216C9"/>
    <w:rsid w:val="00B21BF3"/>
    <w:rsid w:val="00B41FDD"/>
    <w:rsid w:val="00B5399F"/>
    <w:rsid w:val="00B55024"/>
    <w:rsid w:val="00B614B8"/>
    <w:rsid w:val="00B62991"/>
    <w:rsid w:val="00B652F2"/>
    <w:rsid w:val="00B6570C"/>
    <w:rsid w:val="00B8254F"/>
    <w:rsid w:val="00B85573"/>
    <w:rsid w:val="00B86E27"/>
    <w:rsid w:val="00B922FC"/>
    <w:rsid w:val="00B94716"/>
    <w:rsid w:val="00B9477F"/>
    <w:rsid w:val="00B9495C"/>
    <w:rsid w:val="00BA0CBB"/>
    <w:rsid w:val="00BB58C0"/>
    <w:rsid w:val="00BC1B25"/>
    <w:rsid w:val="00BC7D53"/>
    <w:rsid w:val="00BD6BCD"/>
    <w:rsid w:val="00BE087B"/>
    <w:rsid w:val="00BE1190"/>
    <w:rsid w:val="00BF145F"/>
    <w:rsid w:val="00BF15E3"/>
    <w:rsid w:val="00BF7316"/>
    <w:rsid w:val="00C17F53"/>
    <w:rsid w:val="00C22A26"/>
    <w:rsid w:val="00C233C8"/>
    <w:rsid w:val="00C25DEC"/>
    <w:rsid w:val="00C36E70"/>
    <w:rsid w:val="00C37796"/>
    <w:rsid w:val="00C45EB9"/>
    <w:rsid w:val="00C53521"/>
    <w:rsid w:val="00C636F7"/>
    <w:rsid w:val="00C66A7D"/>
    <w:rsid w:val="00C71E19"/>
    <w:rsid w:val="00C721C4"/>
    <w:rsid w:val="00C72B1E"/>
    <w:rsid w:val="00C76523"/>
    <w:rsid w:val="00C768BC"/>
    <w:rsid w:val="00C82957"/>
    <w:rsid w:val="00C848E8"/>
    <w:rsid w:val="00C92E3A"/>
    <w:rsid w:val="00CA32B2"/>
    <w:rsid w:val="00CA5D20"/>
    <w:rsid w:val="00CA6F71"/>
    <w:rsid w:val="00CB59ED"/>
    <w:rsid w:val="00CB5AA6"/>
    <w:rsid w:val="00CD637F"/>
    <w:rsid w:val="00D020E5"/>
    <w:rsid w:val="00D06353"/>
    <w:rsid w:val="00D23E9C"/>
    <w:rsid w:val="00D34B75"/>
    <w:rsid w:val="00D61554"/>
    <w:rsid w:val="00D6511E"/>
    <w:rsid w:val="00D73B48"/>
    <w:rsid w:val="00D82AEF"/>
    <w:rsid w:val="00D9364E"/>
    <w:rsid w:val="00D94BBB"/>
    <w:rsid w:val="00DB036B"/>
    <w:rsid w:val="00DC2C7A"/>
    <w:rsid w:val="00DC7D7A"/>
    <w:rsid w:val="00DD0888"/>
    <w:rsid w:val="00DD3A47"/>
    <w:rsid w:val="00DE53D8"/>
    <w:rsid w:val="00E00350"/>
    <w:rsid w:val="00E05495"/>
    <w:rsid w:val="00E104B2"/>
    <w:rsid w:val="00E27969"/>
    <w:rsid w:val="00E32840"/>
    <w:rsid w:val="00E475D2"/>
    <w:rsid w:val="00E52D55"/>
    <w:rsid w:val="00E544E6"/>
    <w:rsid w:val="00E54B73"/>
    <w:rsid w:val="00E54D8A"/>
    <w:rsid w:val="00E85D9D"/>
    <w:rsid w:val="00E87138"/>
    <w:rsid w:val="00E9228D"/>
    <w:rsid w:val="00EA7418"/>
    <w:rsid w:val="00EB2A82"/>
    <w:rsid w:val="00EC51D4"/>
    <w:rsid w:val="00ED0EC8"/>
    <w:rsid w:val="00ED2D39"/>
    <w:rsid w:val="00EF04D9"/>
    <w:rsid w:val="00EF3FF1"/>
    <w:rsid w:val="00F1396B"/>
    <w:rsid w:val="00F15B68"/>
    <w:rsid w:val="00F33A66"/>
    <w:rsid w:val="00F474DD"/>
    <w:rsid w:val="00F75768"/>
    <w:rsid w:val="00F8170E"/>
    <w:rsid w:val="00F86FBB"/>
    <w:rsid w:val="00F95D77"/>
    <w:rsid w:val="00FA1378"/>
    <w:rsid w:val="00FB4242"/>
    <w:rsid w:val="00FC322F"/>
    <w:rsid w:val="00FD07D2"/>
    <w:rsid w:val="00FD1D57"/>
    <w:rsid w:val="00FD6AF7"/>
    <w:rsid w:val="00FD6C40"/>
    <w:rsid w:val="00FE1B4E"/>
    <w:rsid w:val="00FE38D5"/>
    <w:rsid w:val="00FE58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B5AF7"/>
  <w15:docId w15:val="{9E144C0E-CE7C-4E98-9C58-5F95759A2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7557"/>
    <w:pPr>
      <w:ind w:firstLine="567"/>
      <w:jc w:val="both"/>
    </w:pPr>
    <w:rPr>
      <w:rFonts w:ascii="Times New Roman" w:eastAsia="SimSun" w:hAnsi="Times New Roman" w:cs="Tahoma"/>
      <w:sz w:val="24"/>
      <w:szCs w:val="24"/>
      <w:lang w:eastAsia="hi-IN" w:bidi="hi-IN"/>
    </w:rPr>
  </w:style>
  <w:style w:type="paragraph" w:styleId="1">
    <w:name w:val="heading 1"/>
    <w:basedOn w:val="a"/>
    <w:next w:val="a"/>
    <w:link w:val="10"/>
    <w:uiPriority w:val="9"/>
    <w:qFormat/>
    <w:rsid w:val="00E57F5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uiPriority w:val="9"/>
    <w:semiHidden/>
    <w:unhideWhenUsed/>
    <w:qFormat/>
    <w:rsid w:val="00E57F5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E57F5F"/>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E57F5F"/>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E57F5F"/>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E57F5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57F5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57F5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57F5F"/>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rsid w:val="00E57F5F"/>
    <w:rPr>
      <w:rFonts w:asciiTheme="majorHAnsi" w:eastAsiaTheme="majorEastAsia" w:hAnsiTheme="majorHAnsi" w:cstheme="majorBidi"/>
      <w:color w:val="2F5496" w:themeColor="accent1" w:themeShade="BF"/>
      <w:sz w:val="40"/>
      <w:szCs w:val="40"/>
    </w:rPr>
  </w:style>
  <w:style w:type="character" w:customStyle="1" w:styleId="21">
    <w:name w:val="Цитата 2 Знак1"/>
    <w:basedOn w:val="a0"/>
    <w:link w:val="20"/>
    <w:uiPriority w:val="9"/>
    <w:semiHidden/>
    <w:qFormat/>
    <w:rsid w:val="00E57F5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qFormat/>
    <w:rsid w:val="00E57F5F"/>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qFormat/>
    <w:rsid w:val="00E57F5F"/>
    <w:rPr>
      <w:rFonts w:eastAsiaTheme="majorEastAsia" w:cstheme="majorBidi"/>
      <w:i/>
      <w:iCs/>
      <w:color w:val="2F5496" w:themeColor="accent1" w:themeShade="BF"/>
    </w:rPr>
  </w:style>
  <w:style w:type="character" w:customStyle="1" w:styleId="50">
    <w:name w:val="Заголовок 5 Знак"/>
    <w:basedOn w:val="a0"/>
    <w:link w:val="5"/>
    <w:uiPriority w:val="9"/>
    <w:semiHidden/>
    <w:qFormat/>
    <w:rsid w:val="00E57F5F"/>
    <w:rPr>
      <w:rFonts w:eastAsiaTheme="majorEastAsia" w:cstheme="majorBidi"/>
      <w:color w:val="2F5496" w:themeColor="accent1" w:themeShade="BF"/>
    </w:rPr>
  </w:style>
  <w:style w:type="character" w:customStyle="1" w:styleId="60">
    <w:name w:val="Заголовок 6 Знак"/>
    <w:basedOn w:val="a0"/>
    <w:link w:val="6"/>
    <w:uiPriority w:val="9"/>
    <w:semiHidden/>
    <w:qFormat/>
    <w:rsid w:val="00E57F5F"/>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sid w:val="00E57F5F"/>
    <w:rPr>
      <w:rFonts w:eastAsiaTheme="majorEastAsia" w:cstheme="majorBidi"/>
      <w:color w:val="595959" w:themeColor="text1" w:themeTint="A6"/>
    </w:rPr>
  </w:style>
  <w:style w:type="character" w:customStyle="1" w:styleId="80">
    <w:name w:val="Заголовок 8 Знак"/>
    <w:basedOn w:val="a0"/>
    <w:link w:val="8"/>
    <w:uiPriority w:val="9"/>
    <w:semiHidden/>
    <w:qFormat/>
    <w:rsid w:val="00E57F5F"/>
    <w:rPr>
      <w:rFonts w:eastAsiaTheme="majorEastAsia" w:cstheme="majorBidi"/>
      <w:i/>
      <w:iCs/>
      <w:color w:val="272727" w:themeColor="text1" w:themeTint="D8"/>
    </w:rPr>
  </w:style>
  <w:style w:type="character" w:customStyle="1" w:styleId="90">
    <w:name w:val="Заголовок 9 Знак"/>
    <w:basedOn w:val="a0"/>
    <w:link w:val="9"/>
    <w:uiPriority w:val="9"/>
    <w:semiHidden/>
    <w:qFormat/>
    <w:rsid w:val="00E57F5F"/>
    <w:rPr>
      <w:rFonts w:eastAsiaTheme="majorEastAsia" w:cstheme="majorBidi"/>
      <w:color w:val="272727" w:themeColor="text1" w:themeTint="D8"/>
    </w:rPr>
  </w:style>
  <w:style w:type="character" w:customStyle="1" w:styleId="a3">
    <w:name w:val="Заголовок Знак"/>
    <w:basedOn w:val="a0"/>
    <w:uiPriority w:val="10"/>
    <w:qFormat/>
    <w:rsid w:val="00E57F5F"/>
    <w:rPr>
      <w:rFonts w:asciiTheme="majorHAnsi" w:eastAsiaTheme="majorEastAsia" w:hAnsiTheme="majorHAnsi" w:cstheme="majorBidi"/>
      <w:spacing w:val="-10"/>
      <w:kern w:val="2"/>
      <w:sz w:val="56"/>
      <w:szCs w:val="56"/>
    </w:rPr>
  </w:style>
  <w:style w:type="character" w:customStyle="1" w:styleId="a4">
    <w:name w:val="Подзаголовок Знак"/>
    <w:basedOn w:val="a0"/>
    <w:uiPriority w:val="11"/>
    <w:qFormat/>
    <w:rsid w:val="00E57F5F"/>
    <w:rPr>
      <w:rFonts w:eastAsiaTheme="majorEastAsia" w:cstheme="majorBidi"/>
      <w:color w:val="595959" w:themeColor="text1" w:themeTint="A6"/>
      <w:spacing w:val="15"/>
      <w:sz w:val="28"/>
      <w:szCs w:val="28"/>
    </w:rPr>
  </w:style>
  <w:style w:type="character" w:customStyle="1" w:styleId="22">
    <w:name w:val="Цитата 2 Знак"/>
    <w:basedOn w:val="a0"/>
    <w:uiPriority w:val="29"/>
    <w:qFormat/>
    <w:rsid w:val="00E57F5F"/>
    <w:rPr>
      <w:i/>
      <w:iCs/>
      <w:color w:val="404040" w:themeColor="text1" w:themeTint="BF"/>
    </w:rPr>
  </w:style>
  <w:style w:type="character" w:styleId="a5">
    <w:name w:val="Intense Emphasis"/>
    <w:basedOn w:val="a0"/>
    <w:uiPriority w:val="21"/>
    <w:qFormat/>
    <w:rsid w:val="00E57F5F"/>
    <w:rPr>
      <w:i/>
      <w:iCs/>
      <w:color w:val="2F5496" w:themeColor="accent1" w:themeShade="BF"/>
    </w:rPr>
  </w:style>
  <w:style w:type="character" w:customStyle="1" w:styleId="a6">
    <w:name w:val="Выделенная цитата Знак"/>
    <w:basedOn w:val="a0"/>
    <w:uiPriority w:val="30"/>
    <w:qFormat/>
    <w:rsid w:val="00E57F5F"/>
    <w:rPr>
      <w:i/>
      <w:iCs/>
      <w:color w:val="2F5496" w:themeColor="accent1" w:themeShade="BF"/>
    </w:rPr>
  </w:style>
  <w:style w:type="character" w:styleId="a7">
    <w:name w:val="Intense Reference"/>
    <w:basedOn w:val="a0"/>
    <w:uiPriority w:val="32"/>
    <w:qFormat/>
    <w:rsid w:val="00E57F5F"/>
    <w:rPr>
      <w:b/>
      <w:bCs/>
      <w:smallCaps/>
      <w:color w:val="2F5496" w:themeColor="accent1" w:themeShade="BF"/>
      <w:spacing w:val="5"/>
    </w:rPr>
  </w:style>
  <w:style w:type="character" w:customStyle="1" w:styleId="a8">
    <w:name w:val="Верхний колонтитул Знак"/>
    <w:basedOn w:val="a0"/>
    <w:qFormat/>
    <w:rsid w:val="00B17557"/>
    <w:rPr>
      <w:rFonts w:ascii="Times New Roman" w:eastAsia="Times New Roman" w:hAnsi="Times New Roman" w:cs="Times New Roman"/>
      <w:kern w:val="0"/>
      <w:sz w:val="24"/>
      <w:szCs w:val="24"/>
      <w:lang w:eastAsia="ar-SA"/>
    </w:rPr>
  </w:style>
  <w:style w:type="character" w:customStyle="1" w:styleId="-">
    <w:name w:val="Интернет-ссылка"/>
    <w:uiPriority w:val="99"/>
    <w:semiHidden/>
    <w:rsid w:val="00B17557"/>
    <w:rPr>
      <w:color w:val="0000FF"/>
      <w:u w:val="single"/>
    </w:rPr>
  </w:style>
  <w:style w:type="character" w:customStyle="1" w:styleId="a9">
    <w:name w:val="Основной текст с отступом Знак"/>
    <w:basedOn w:val="a0"/>
    <w:uiPriority w:val="99"/>
    <w:qFormat/>
    <w:rsid w:val="00B17557"/>
    <w:rPr>
      <w:rFonts w:ascii="Calibri" w:eastAsia="Times New Roman" w:hAnsi="Calibri" w:cs="Times New Roman"/>
      <w:kern w:val="0"/>
      <w:lang w:eastAsia="ru-RU"/>
    </w:rPr>
  </w:style>
  <w:style w:type="character" w:customStyle="1" w:styleId="aa">
    <w:name w:val="Нижний колонтитул Знак"/>
    <w:basedOn w:val="a0"/>
    <w:uiPriority w:val="99"/>
    <w:qFormat/>
    <w:rsid w:val="00B17557"/>
    <w:rPr>
      <w:rFonts w:ascii="Times New Roman" w:eastAsia="SimSun" w:hAnsi="Times New Roman" w:cs="Mangal"/>
      <w:kern w:val="2"/>
      <w:sz w:val="24"/>
      <w:szCs w:val="21"/>
      <w:lang w:eastAsia="hi-IN" w:bidi="hi-IN"/>
    </w:rPr>
  </w:style>
  <w:style w:type="character" w:customStyle="1" w:styleId="extendedtext-shortextended-textshort">
    <w:name w:val="extendedtext-short extended-text__short"/>
    <w:basedOn w:val="a0"/>
    <w:uiPriority w:val="99"/>
    <w:qFormat/>
    <w:rsid w:val="00B17557"/>
    <w:rPr>
      <w:rFonts w:cs="Times New Roman"/>
    </w:rPr>
  </w:style>
  <w:style w:type="character" w:customStyle="1" w:styleId="ab">
    <w:name w:val="Абзац списка Знак"/>
    <w:uiPriority w:val="34"/>
    <w:qFormat/>
    <w:locked/>
    <w:rsid w:val="00B17557"/>
  </w:style>
  <w:style w:type="character" w:customStyle="1" w:styleId="ac">
    <w:name w:val="Основной текст Знак"/>
    <w:basedOn w:val="a0"/>
    <w:qFormat/>
    <w:rsid w:val="00B17557"/>
    <w:rPr>
      <w:rFonts w:ascii="Times New Roman" w:eastAsia="Times New Roman" w:hAnsi="Times New Roman" w:cs="Times New Roman"/>
      <w:kern w:val="0"/>
      <w:sz w:val="24"/>
      <w:szCs w:val="24"/>
      <w:lang w:eastAsia="zh-CN"/>
    </w:rPr>
  </w:style>
  <w:style w:type="character" w:styleId="ad">
    <w:name w:val="Strong"/>
    <w:qFormat/>
    <w:rsid w:val="00B17557"/>
    <w:rPr>
      <w:b/>
      <w:bCs/>
    </w:rPr>
  </w:style>
  <w:style w:type="character" w:customStyle="1" w:styleId="ConsPlusNormal">
    <w:name w:val="ConsPlusNormal Знак"/>
    <w:qFormat/>
    <w:rsid w:val="00EC63D7"/>
    <w:rPr>
      <w:rFonts w:ascii="Arial" w:eastAsia="Times New Roman" w:hAnsi="Arial" w:cs="Arial"/>
      <w:kern w:val="0"/>
      <w:sz w:val="20"/>
      <w:szCs w:val="20"/>
      <w:lang w:eastAsia="ru-RU"/>
    </w:rPr>
  </w:style>
  <w:style w:type="character" w:customStyle="1" w:styleId="ae">
    <w:name w:val="Символ нумерации"/>
    <w:qFormat/>
    <w:rsid w:val="00147DEF"/>
  </w:style>
  <w:style w:type="paragraph" w:styleId="af">
    <w:name w:val="Title"/>
    <w:basedOn w:val="a"/>
    <w:next w:val="af0"/>
    <w:uiPriority w:val="10"/>
    <w:qFormat/>
    <w:rsid w:val="00E57F5F"/>
    <w:pPr>
      <w:spacing w:after="80"/>
      <w:contextualSpacing/>
    </w:pPr>
    <w:rPr>
      <w:rFonts w:asciiTheme="majorHAnsi" w:eastAsiaTheme="majorEastAsia" w:hAnsiTheme="majorHAnsi" w:cstheme="majorBidi"/>
      <w:spacing w:val="-10"/>
      <w:sz w:val="56"/>
      <w:szCs w:val="56"/>
    </w:rPr>
  </w:style>
  <w:style w:type="paragraph" w:styleId="af0">
    <w:name w:val="Body Text"/>
    <w:basedOn w:val="a"/>
    <w:rsid w:val="00B17557"/>
    <w:pPr>
      <w:spacing w:after="120"/>
    </w:pPr>
    <w:rPr>
      <w:rFonts w:eastAsia="Times New Roman" w:cs="Times New Roman"/>
      <w:kern w:val="0"/>
      <w:lang w:eastAsia="zh-CN" w:bidi="ar-SA"/>
    </w:rPr>
  </w:style>
  <w:style w:type="paragraph" w:styleId="af1">
    <w:name w:val="List"/>
    <w:basedOn w:val="af0"/>
    <w:rsid w:val="00EB6249"/>
    <w:rPr>
      <w:rFonts w:cs="Arial Unicode MS"/>
    </w:rPr>
  </w:style>
  <w:style w:type="paragraph" w:styleId="af2">
    <w:name w:val="caption"/>
    <w:basedOn w:val="a"/>
    <w:qFormat/>
    <w:rsid w:val="00EB6249"/>
    <w:pPr>
      <w:suppressLineNumbers/>
      <w:spacing w:before="120" w:after="120"/>
    </w:pPr>
    <w:rPr>
      <w:rFonts w:cs="Arial Unicode MS"/>
      <w:i/>
      <w:iCs/>
    </w:rPr>
  </w:style>
  <w:style w:type="paragraph" w:styleId="af3">
    <w:name w:val="index heading"/>
    <w:basedOn w:val="a"/>
    <w:qFormat/>
    <w:rsid w:val="00EB6249"/>
    <w:pPr>
      <w:suppressLineNumbers/>
    </w:pPr>
    <w:rPr>
      <w:rFonts w:cs="Arial Unicode MS"/>
    </w:rPr>
  </w:style>
  <w:style w:type="paragraph" w:styleId="af4">
    <w:name w:val="Subtitle"/>
    <w:basedOn w:val="a"/>
    <w:next w:val="a"/>
    <w:uiPriority w:val="11"/>
    <w:qFormat/>
    <w:rsid w:val="00E57F5F"/>
    <w:pPr>
      <w:spacing w:after="160"/>
    </w:pPr>
    <w:rPr>
      <w:rFonts w:eastAsiaTheme="majorEastAsia" w:cstheme="majorBidi"/>
      <w:color w:val="595959" w:themeColor="text1" w:themeTint="A6"/>
      <w:spacing w:val="15"/>
      <w:sz w:val="28"/>
      <w:szCs w:val="28"/>
    </w:rPr>
  </w:style>
  <w:style w:type="paragraph" w:styleId="20">
    <w:name w:val="Quote"/>
    <w:basedOn w:val="a"/>
    <w:next w:val="a"/>
    <w:link w:val="21"/>
    <w:uiPriority w:val="29"/>
    <w:qFormat/>
    <w:rsid w:val="00E57F5F"/>
    <w:pPr>
      <w:spacing w:before="160" w:after="160"/>
      <w:jc w:val="center"/>
    </w:pPr>
    <w:rPr>
      <w:i/>
      <w:iCs/>
      <w:color w:val="404040" w:themeColor="text1" w:themeTint="BF"/>
    </w:rPr>
  </w:style>
  <w:style w:type="paragraph" w:styleId="af5">
    <w:name w:val="List Paragraph"/>
    <w:basedOn w:val="a"/>
    <w:uiPriority w:val="34"/>
    <w:qFormat/>
    <w:rsid w:val="00E57F5F"/>
    <w:pPr>
      <w:ind w:left="720"/>
      <w:contextualSpacing/>
    </w:pPr>
  </w:style>
  <w:style w:type="paragraph" w:styleId="af6">
    <w:name w:val="Intense Quote"/>
    <w:basedOn w:val="a"/>
    <w:next w:val="a"/>
    <w:uiPriority w:val="30"/>
    <w:qFormat/>
    <w:rsid w:val="00E57F5F"/>
    <w:pPr>
      <w:pBdr>
        <w:top w:val="single" w:sz="4" w:space="10" w:color="2F5496"/>
        <w:bottom w:val="single" w:sz="4" w:space="10" w:color="2F5496"/>
      </w:pBdr>
      <w:spacing w:before="360" w:after="360"/>
      <w:ind w:left="864" w:right="864"/>
      <w:jc w:val="center"/>
    </w:pPr>
    <w:rPr>
      <w:i/>
      <w:iCs/>
      <w:color w:val="2F5496" w:themeColor="accent1" w:themeShade="BF"/>
    </w:rPr>
  </w:style>
  <w:style w:type="paragraph" w:customStyle="1" w:styleId="af7">
    <w:name w:val="Колонтитул"/>
    <w:basedOn w:val="a"/>
    <w:qFormat/>
    <w:rsid w:val="00EB6249"/>
  </w:style>
  <w:style w:type="paragraph" w:styleId="af8">
    <w:name w:val="header"/>
    <w:basedOn w:val="a"/>
    <w:rsid w:val="00B17557"/>
    <w:pPr>
      <w:tabs>
        <w:tab w:val="center" w:pos="4677"/>
        <w:tab w:val="right" w:pos="9355"/>
      </w:tabs>
    </w:pPr>
    <w:rPr>
      <w:rFonts w:eastAsia="Times New Roman" w:cs="Times New Roman"/>
      <w:kern w:val="0"/>
      <w:lang w:eastAsia="ar-SA" w:bidi="ar-SA"/>
    </w:rPr>
  </w:style>
  <w:style w:type="paragraph" w:styleId="af9">
    <w:name w:val="Body Text Indent"/>
    <w:basedOn w:val="a"/>
    <w:uiPriority w:val="99"/>
    <w:rsid w:val="00B17557"/>
    <w:pPr>
      <w:spacing w:after="120"/>
      <w:ind w:left="283"/>
    </w:pPr>
    <w:rPr>
      <w:rFonts w:ascii="Calibri" w:eastAsia="Times New Roman" w:hAnsi="Calibri" w:cs="Times New Roman"/>
      <w:kern w:val="0"/>
      <w:sz w:val="22"/>
      <w:szCs w:val="22"/>
      <w:lang w:eastAsia="ru-RU" w:bidi="ar-SA"/>
    </w:rPr>
  </w:style>
  <w:style w:type="paragraph" w:styleId="afa">
    <w:name w:val="footer"/>
    <w:basedOn w:val="a"/>
    <w:uiPriority w:val="99"/>
    <w:rsid w:val="00B17557"/>
    <w:pPr>
      <w:tabs>
        <w:tab w:val="center" w:pos="4677"/>
        <w:tab w:val="right" w:pos="9355"/>
      </w:tabs>
    </w:pPr>
    <w:rPr>
      <w:rFonts w:cs="Mangal"/>
      <w:szCs w:val="21"/>
    </w:rPr>
  </w:style>
  <w:style w:type="paragraph" w:styleId="afb">
    <w:name w:val="No Spacing"/>
    <w:qFormat/>
    <w:rsid w:val="00B17557"/>
    <w:pPr>
      <w:ind w:firstLine="567"/>
      <w:jc w:val="both"/>
    </w:pPr>
    <w:rPr>
      <w:kern w:val="0"/>
    </w:rPr>
  </w:style>
  <w:style w:type="paragraph" w:styleId="afc">
    <w:name w:val="Normal (Web)"/>
    <w:qFormat/>
    <w:rsid w:val="00B17557"/>
    <w:pPr>
      <w:widowControl w:val="0"/>
      <w:spacing w:before="280" w:after="119"/>
      <w:ind w:firstLine="567"/>
      <w:jc w:val="both"/>
    </w:pPr>
    <w:rPr>
      <w:rFonts w:ascii="Times New Roman" w:eastAsia="SimSun" w:hAnsi="Times New Roman" w:cs="Lucida Sans"/>
      <w:kern w:val="0"/>
      <w:sz w:val="24"/>
      <w:szCs w:val="24"/>
      <w:lang w:eastAsia="hi-IN" w:bidi="hi-IN"/>
    </w:rPr>
  </w:style>
  <w:style w:type="paragraph" w:customStyle="1" w:styleId="ConsPlusNormal0">
    <w:name w:val="ConsPlusNormal"/>
    <w:qFormat/>
    <w:rsid w:val="00EC63D7"/>
    <w:pPr>
      <w:suppressAutoHyphens w:val="0"/>
      <w:ind w:firstLine="720"/>
    </w:pPr>
    <w:rPr>
      <w:rFonts w:ascii="Arial" w:eastAsia="Times New Roman" w:hAnsi="Arial" w:cs="Arial"/>
      <w:kern w:val="0"/>
      <w:sz w:val="20"/>
      <w:szCs w:val="20"/>
      <w:lang w:eastAsia="ru-RU"/>
    </w:rPr>
  </w:style>
  <w:style w:type="character" w:customStyle="1" w:styleId="afd">
    <w:name w:val="Основной текст_"/>
    <w:link w:val="11"/>
    <w:locked/>
    <w:rsid w:val="00C768BC"/>
    <w:rPr>
      <w:sz w:val="19"/>
      <w:shd w:val="clear" w:color="auto" w:fill="FFFFFF"/>
    </w:rPr>
  </w:style>
  <w:style w:type="paragraph" w:customStyle="1" w:styleId="11">
    <w:name w:val="Основной текст1"/>
    <w:basedOn w:val="a"/>
    <w:link w:val="afd"/>
    <w:rsid w:val="00C768BC"/>
    <w:pPr>
      <w:widowControl w:val="0"/>
      <w:shd w:val="clear" w:color="auto" w:fill="FFFFFF"/>
      <w:suppressAutoHyphens w:val="0"/>
      <w:spacing w:before="180" w:line="218" w:lineRule="exact"/>
      <w:ind w:firstLine="480"/>
    </w:pPr>
    <w:rPr>
      <w:rFonts w:asciiTheme="minorHAnsi" w:eastAsiaTheme="minorHAnsi" w:hAnsiTheme="minorHAnsi" w:cstheme="minorBidi"/>
      <w:sz w:val="19"/>
      <w:szCs w:val="22"/>
      <w:shd w:val="clear" w:color="auto" w:fill="FFFFFF"/>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526006">
      <w:bodyDiv w:val="1"/>
      <w:marLeft w:val="0"/>
      <w:marRight w:val="0"/>
      <w:marTop w:val="0"/>
      <w:marBottom w:val="0"/>
      <w:divBdr>
        <w:top w:val="none" w:sz="0" w:space="0" w:color="auto"/>
        <w:left w:val="none" w:sz="0" w:space="0" w:color="auto"/>
        <w:bottom w:val="none" w:sz="0" w:space="0" w:color="auto"/>
        <w:right w:val="none" w:sz="0" w:space="0" w:color="auto"/>
      </w:divBdr>
    </w:div>
    <w:div w:id="605960519">
      <w:bodyDiv w:val="1"/>
      <w:marLeft w:val="0"/>
      <w:marRight w:val="0"/>
      <w:marTop w:val="0"/>
      <w:marBottom w:val="0"/>
      <w:divBdr>
        <w:top w:val="none" w:sz="0" w:space="0" w:color="auto"/>
        <w:left w:val="none" w:sz="0" w:space="0" w:color="auto"/>
        <w:bottom w:val="none" w:sz="0" w:space="0" w:color="auto"/>
        <w:right w:val="none" w:sz="0" w:space="0" w:color="auto"/>
      </w:divBdr>
    </w:div>
    <w:div w:id="11034540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30</Pages>
  <Words>12592</Words>
  <Characters>71779</Characters>
  <Application>Microsoft Office Word</Application>
  <DocSecurity>0</DocSecurity>
  <Lines>598</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Дубовицкая</dc:creator>
  <dc:description/>
  <cp:lastModifiedBy>Дубовицкая</cp:lastModifiedBy>
  <cp:revision>3</cp:revision>
  <cp:lastPrinted>2026-03-26T12:27:00Z</cp:lastPrinted>
  <dcterms:created xsi:type="dcterms:W3CDTF">2026-04-02T10:18:00Z</dcterms:created>
  <dcterms:modified xsi:type="dcterms:W3CDTF">2026-04-02T10:23:00Z</dcterms:modified>
  <dc:language>ru-RU</dc:language>
</cp:coreProperties>
</file>