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ind w:firstLine="720"/>
        <w:jc w:val="center"/>
        <w:rPr>
          <w:rFonts w:ascii="PT Astra Serif" w:hAnsi="PT Astra Serif" w:cs="PT Astra Serif" w:eastAsia="PT Astra Serif"/>
          <w:b/>
          <w:sz w:val="32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b/>
          <w:sz w:val="32"/>
          <w:szCs w:val="28"/>
          <w:shd w:val="clear" w:color="auto" w:fill="FFFFFF"/>
        </w:rPr>
        <w:t xml:space="preserve">Предоставление гражданам лесов для осуществления сельскохозяйственной деятельности (в том числе пчеловодства)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09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могут быть </w:t>
      </w:r>
      <w:r>
        <w:rPr>
          <w:rFonts w:ascii="PT Astra Serif" w:hAnsi="PT Astra Serif" w:cs="PT Astra Serif" w:eastAsia="PT Astra Serif"/>
        </w:rPr>
        <w:fldChar w:fldCharType="begin"/>
      </w:r>
      <w:r>
        <w:rPr>
          <w:rFonts w:ascii="PT Astra Serif" w:hAnsi="PT Astra Serif" w:cs="PT Astra Serif" w:eastAsia="PT Astra Serif"/>
        </w:rPr>
        <w:instrText xml:space="preserve">HYPERLINK "consultantplus://offline/ref=B5FA69BEF1C48DB6DF9C795756568704EED8B607E58D567BF02442B878F03F3E168904338CA0605442D1AD3FF63B483D476357AADB9CDD2578a9K"</w:instrText>
      </w:r>
      <w:r>
        <w:rPr>
          <w:rFonts w:ascii="PT Astra Serif" w:hAnsi="PT Astra Serif" w:cs="PT Astra Serif" w:eastAsia="PT Astra Serif"/>
        </w:rPr>
        <w:fldChar w:fldCharType="separate"/>
      </w:r>
      <w:r>
        <w:rPr>
          <w:rFonts w:ascii="PT Astra Serif" w:hAnsi="PT Astra Serif" w:cs="PT Astra Serif" w:eastAsia="PT Astra Serif"/>
          <w:sz w:val="28"/>
          <w:szCs w:val="28"/>
        </w:rPr>
        <w:t xml:space="preserve">предостав</w:t>
      </w:r>
      <w:r>
        <w:rPr>
          <w:rFonts w:ascii="PT Astra Serif" w:hAnsi="PT Astra Serif" w:cs="PT Astra Serif" w:eastAsia="PT Astra Serif"/>
        </w:rPr>
        <w:fldChar w:fldCharType="end"/>
      </w:r>
      <w:r>
        <w:rPr>
          <w:rFonts w:ascii="PT Astra Serif" w:hAnsi="PT Astra Serif" w:cs="PT Astra Serif" w:eastAsia="PT Astra Serif"/>
          <w:sz w:val="28"/>
          <w:szCs w:val="28"/>
        </w:rPr>
        <w:t xml:space="preserve">лены в безвозмездное пользование.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09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Договор безвозмездного пользования лесным участком, находящимся в государственной собственности, заключается без проведения торгов на основании </w:t>
      </w:r>
      <w:r>
        <w:rPr>
          <w:rFonts w:ascii="PT Astra Serif" w:hAnsi="PT Astra Serif" w:cs="PT Astra Serif" w:eastAsia="PT Astra Serif"/>
          <w:sz w:val="28"/>
          <w:szCs w:val="28"/>
        </w:rPr>
        <w:fldChar w:fldCharType="begin"/>
      </w:r>
      <w:r>
        <w:rPr>
          <w:rFonts w:ascii="PT Astra Serif" w:hAnsi="PT Astra Serif" w:cs="PT Astra Serif" w:eastAsia="PT Astra Serif"/>
          <w:sz w:val="28"/>
          <w:szCs w:val="28"/>
        </w:rPr>
        <w:instrText xml:space="preserve">HYPERLINK "consultantplus://offline/ref=7B15C7E39106A9D5D128ADC2317416E94CA965AA38FAE0D4C417886D9172D9231B0F9E6C36B521ECAF6F5B189B7B8E9C38A91D5EAB117F49i8bFK"</w:instrText>
      </w:r>
      <w:r>
        <w:rPr>
          <w:rFonts w:ascii="PT Astra Serif" w:hAnsi="PT Astra Serif" w:cs="PT Astra Serif" w:eastAsia="PT Astra Serif"/>
          <w:sz w:val="28"/>
          <w:szCs w:val="28"/>
        </w:rPr>
        <w:fldChar w:fldCharType="separate"/>
      </w:r>
      <w:r>
        <w:rPr>
          <w:rFonts w:ascii="PT Astra Serif" w:hAnsi="PT Astra Serif" w:cs="PT Astra Serif" w:eastAsia="PT Astra Serif"/>
          <w:sz w:val="28"/>
          <w:szCs w:val="28"/>
        </w:rPr>
        <w:t xml:space="preserve">заявления</w:t>
      </w:r>
      <w:r>
        <w:rPr>
          <w:rFonts w:ascii="PT Astra Serif" w:hAnsi="PT Astra Serif" w:cs="PT Astra Serif" w:eastAsia="PT Astra Serif"/>
          <w:sz w:val="28"/>
          <w:szCs w:val="28"/>
        </w:rPr>
        <w:fldChar w:fldCharType="end"/>
      </w:r>
      <w:r>
        <w:rPr>
          <w:rFonts w:ascii="PT Astra Serif" w:hAnsi="PT Astra Serif" w:cs="PT Astra Serif" w:eastAsia="PT Astra Serif"/>
          <w:sz w:val="28"/>
          <w:szCs w:val="28"/>
        </w:rPr>
        <w:t xml:space="preserve"> заинтересованного лица. 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09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Типовой договор безвозмездного пользования лесными участками утвержден Приказом Минприроды России от 10.07.2020 года № 435 «Об утверждении типовых договоров безвозмездного пользования лесными участками».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09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Форма заявления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о предоставлении в пределах земель лесного фонда лесного участка в безвозмездное пользование,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регламент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</w:t>
      </w: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предоставления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пользование, утверждены Приказом Минприроды России от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25.10.2016 года № 559 «Об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пользование»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(ссылка на размещение указанных документов на сайте министерства: </w:t>
      </w:r>
      <w:r>
        <w:rPr>
          <w:rFonts w:ascii="PT Astra Serif" w:hAnsi="PT Astra Serif" w:cs="PT Astra Serif" w:eastAsia="PT Astra Serif"/>
        </w:rPr>
        <w:fldChar w:fldCharType="begin"/>
      </w:r>
      <w:r>
        <w:rPr>
          <w:rFonts w:ascii="PT Astra Serif" w:hAnsi="PT Astra Serif" w:cs="PT Astra Serif" w:eastAsia="PT Astra Serif"/>
        </w:rPr>
        <w:instrText xml:space="preserve">HYPERLINK "https://www.minforest.saratov.gov.ru/service/admin_reg.php"</w:instrText>
      </w:r>
      <w:r>
        <w:rPr>
          <w:rFonts w:ascii="PT Astra Serif" w:hAnsi="PT Astra Serif" w:cs="PT Astra Serif" w:eastAsia="PT Astra Serif"/>
        </w:rPr>
        <w:fldChar w:fldCharType="separate"/>
      </w:r>
      <w:r>
        <w:rPr>
          <w:rStyle w:val="640"/>
          <w:rFonts w:ascii="PT Astra Serif" w:hAnsi="PT Astra Serif" w:cs="PT Astra Serif" w:eastAsia="PT Astra Serif"/>
          <w:sz w:val="28"/>
          <w:szCs w:val="28"/>
        </w:rPr>
        <w:t xml:space="preserve">https://www.minforest.saratov.gov.ru/service/admin_reg.php</w:t>
      </w:r>
      <w:r>
        <w:rPr>
          <w:rFonts w:ascii="PT Astra Serif" w:hAnsi="PT Astra Serif" w:cs="PT Astra Serif" w:eastAsia="PT Astra Serif"/>
        </w:rPr>
        <w:fldChar w:fldCharType="end"/>
      </w:r>
      <w:r>
        <w:rPr>
          <w:rFonts w:ascii="PT Astra Serif" w:hAnsi="PT Astra Serif" w:cs="PT Astra Serif" w:eastAsia="PT Astra Serif"/>
          <w:sz w:val="28"/>
          <w:szCs w:val="28"/>
        </w:rPr>
        <w:t xml:space="preserve">.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)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center"/>
        <w:spacing w:before="240"/>
        <w:rPr>
          <w:rFonts w:ascii="PT Astra Serif" w:hAnsi="PT Astra Serif" w:cs="PT Astra Serif" w:eastAsia="PT Astra Serif"/>
          <w:b/>
          <w:sz w:val="32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b/>
          <w:sz w:val="32"/>
          <w:szCs w:val="28"/>
          <w:shd w:val="clear" w:color="auto" w:fill="FFFFFF"/>
        </w:rPr>
        <w:t xml:space="preserve">Заготовка и сбор валежника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Федеральным законом от 18.04.2018 № 77-ФЗ «О внесении изменения в статью 32 Лесного кодекса Российской Федерации» в часть 2 статьи 32 Лесного кодекса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 Российской Федерации (далее – Лесной кодекс) внесены изменения, в соответствии с которыми валежник отнесен к </w:t>
      </w: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недревесным лесным ресурсам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, заготовка и сбор которых осуществляются в соответствии с положениями Лесного кодекса.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Заготовка недревесных лесных ресурсов регламентирована положениями Лесного кодекса, а именно статей 32 «Заготовка и сбор недревесных лесных ресурсов» и 33 «Заготовка и сбор гражданами недревесных лесных ресурсов для собственных нужд».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Заготовка и сбор гражданами недревесных лесных ресурсов, за исключением елей и деревьев других хвойных пород для новогодних праздников, для собственных нужд осуществляются в соответствии со статьей 11 Лесного кодекса, которая устанавливает, что граждане </w:t>
      </w: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имеют право свободно и бесплатно пребывать в лесах, осуществлять для собственных нужд, заготовку и сбор недревесных лесных ресурсов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При осуществлении вышеуказанной деятельности граждане обязаны соблюдать правила пожарной безопасности в лесах, правила санитарной безопасности в лесах, правила лесовосстановления и правила ухода за лесами.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В соответствии с частью 4 статьи 33 Лесного кодекса, порядок заготовки и сбора гражданами недревесных лесных ресурсов для собственных нужд устанавливается законом субъекта Российской Федерации.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color w:val="FF0000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color w:val="FF0000"/>
          <w:sz w:val="28"/>
          <w:szCs w:val="28"/>
          <w:shd w:val="clear" w:color="auto" w:fill="FFFFFF"/>
        </w:rPr>
        <w:t xml:space="preserve">К собственным нуждам граждан относятся потребности граждан и членов их семей в лесных ресурсах, предусматривающие конечное использования лесных ресурсов внутри семьи.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Заготовка валежника осуществляется в течение всего года.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При заготовке валежника осуществляется сбор лежащих на по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верхности земли остатков стволов деревьев, сучьев, не являющихся порубочными остатками в местах проведения лесосечных работ, и (или) образовавшихся вследствие естественного отмирания деревьев, при их повреждении вредными организмами, буреломе, снеговале. [</w:t>
      </w:r>
      <w:r>
        <w:rPr>
          <w:rFonts w:ascii="PT Astra Serif" w:hAnsi="PT Astra Serif" w:cs="PT Astra Serif" w:eastAsia="PT Astra Serif"/>
          <w:color w:val="333333"/>
          <w:sz w:val="28"/>
          <w:szCs w:val="28"/>
          <w:shd w:val="clear" w:color="auto" w:fill="FFFFFF"/>
        </w:rPr>
        <w:t xml:space="preserve">Ст</w:t>
      </w:r>
      <w:r>
        <w:rPr>
          <w:rFonts w:ascii="PT Astra Serif" w:hAnsi="PT Astra Serif" w:cs="PT Astra Serif" w:eastAsia="PT Astra Serif"/>
          <w:color w:val="333333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 w:eastAsia="PT Astra Serif"/>
          <w:color w:val="333333"/>
          <w:sz w:val="28"/>
          <w:szCs w:val="28"/>
          <w:shd w:val="clear" w:color="auto" w:fill="FFFFFF"/>
        </w:rPr>
        <w:t xml:space="preserve"> 17 </w:t>
      </w:r>
      <w:r>
        <w:rPr>
          <w:rFonts w:ascii="PT Astra Serif" w:hAnsi="PT Astra Serif" w:cs="PT Astra Serif" w:eastAsia="PT Astra Serif"/>
          <w:color w:val="333333"/>
          <w:sz w:val="28"/>
          <w:szCs w:val="28"/>
          <w:shd w:val="clear" w:color="auto" w:fill="FFFFFF"/>
        </w:rPr>
        <w:t xml:space="preserve">Приказ Минприроды России от 28.07.2020 </w:t>
      </w:r>
      <w:r>
        <w:rPr>
          <w:rFonts w:ascii="PT Astra Serif" w:hAnsi="PT Astra Serif" w:cs="PT Astra Serif" w:eastAsia="PT Astra Serif"/>
          <w:color w:val="333333"/>
          <w:sz w:val="28"/>
          <w:szCs w:val="28"/>
          <w:shd w:val="clear" w:color="auto" w:fill="FFFFFF"/>
        </w:rPr>
        <w:t xml:space="preserve">№</w:t>
      </w:r>
      <w:r>
        <w:rPr>
          <w:rFonts w:ascii="PT Astra Serif" w:hAnsi="PT Astra Serif" w:cs="PT Astra Serif" w:eastAsia="PT Astra Serif"/>
          <w:color w:val="333333"/>
          <w:sz w:val="28"/>
          <w:szCs w:val="28"/>
          <w:shd w:val="clear" w:color="auto" w:fill="FFFFFF"/>
        </w:rPr>
        <w:t xml:space="preserve"> 496 </w:t>
      </w:r>
      <w:r>
        <w:rPr>
          <w:rFonts w:ascii="PT Astra Serif" w:hAnsi="PT Astra Serif" w:cs="PT Astra Serif" w:eastAsia="PT Astra Serif"/>
          <w:color w:val="333333"/>
          <w:sz w:val="28"/>
          <w:szCs w:val="28"/>
          <w:shd w:val="clear" w:color="auto" w:fill="FFFFFF"/>
        </w:rPr>
        <w:t xml:space="preserve">«</w:t>
      </w:r>
      <w:r>
        <w:rPr>
          <w:rFonts w:ascii="PT Astra Serif" w:hAnsi="PT Astra Serif" w:cs="PT Astra Serif" w:eastAsia="PT Astra Serif"/>
          <w:color w:val="333333"/>
          <w:sz w:val="28"/>
          <w:szCs w:val="28"/>
          <w:shd w:val="clear" w:color="auto" w:fill="FFFFFF"/>
        </w:rPr>
        <w:t xml:space="preserve">Об утверждении Правил заготовки и сбора недревесных лесных ресурсов</w:t>
      </w:r>
      <w:r>
        <w:rPr>
          <w:rFonts w:ascii="PT Astra Serif" w:hAnsi="PT Astra Serif" w:cs="PT Astra Serif" w:eastAsia="PT Astra Serif"/>
          <w:color w:val="333333"/>
          <w:sz w:val="28"/>
          <w:szCs w:val="28"/>
          <w:shd w:val="clear" w:color="auto" w:fill="FFFFFF"/>
        </w:rPr>
        <w:t xml:space="preserve">»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]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09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09"/>
        <w:jc w:val="center"/>
        <w:spacing w:lineRule="auto" w:line="240" w:after="0"/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Напоминание</w:t>
      </w: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: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09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Г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ражданам необходимо уведом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ить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ГКУ СО «Саратовское областное лесничество»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 о сборе валежника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 по телефону 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8 (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845-2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) 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26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-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02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-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91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center"/>
        <w:spacing w:before="240"/>
        <w:rPr>
          <w:rFonts w:ascii="PT Astra Serif" w:hAnsi="PT Astra Serif" w:cs="PT Astra Serif" w:eastAsia="PT Astra Serif"/>
          <w:b/>
          <w:sz w:val="36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b/>
          <w:sz w:val="36"/>
          <w:szCs w:val="28"/>
          <w:shd w:val="clear" w:color="auto" w:fill="FFFFFF"/>
        </w:rPr>
        <w:t xml:space="preserve">Заготовка дровяной и деловой древесины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spacing w:after="0"/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Кто может получить бесплатно</w:t>
      </w: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 древесину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В соответствии со статьей 30 Лесного кодекса Российской Феде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рации бесплатно осуществлять заготовку древесины для собственных нужд вправе лица, относящиеся к коренным малочисленным народам Севера, Сибири и Дальнего Востока Российской Федерации, в местах традиционного проживания и хозяйственной деятельности этих лиц.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Иные граждане вправе осуществлять заготовку древесины для собственных нужд на основании </w:t>
      </w: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договоров купли</w:t>
      </w: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-продажи лесных насаждений. 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Древесина, заготовленная гражданами для собственных нужд, не может отчуждаться или переходить от одного лица к другому иными способами. Основные затраты гражданин несёт при вырубке, вывозке и распиловке заготовленной древесины. 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jc w:val="center"/>
        <w:spacing w:after="0"/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br w:type="page"/>
      </w: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Нормативы заготовки древесины гражданами для собственных нужд 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Нормативы заготовки древесины гражданами для собственных нужд установлены Законом Саратовской области от 28.06.2007 года № 119-ЗСО «Об использовании лесов гражданами для собственных нужд»: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-  для строительства жилого дома и надворных построек - </w:t>
      </w:r>
      <w:r>
        <w:rPr>
          <w:rFonts w:ascii="PT Astra Serif" w:hAnsi="PT Astra Serif" w:cs="PT Astra Serif" w:eastAsia="PT Astra Serif"/>
          <w:b/>
          <w:color w:val="FF0000"/>
          <w:sz w:val="28"/>
          <w:szCs w:val="28"/>
          <w:shd w:val="clear" w:color="auto" w:fill="FFFFFF"/>
        </w:rPr>
        <w:t xml:space="preserve">до 60 куб. м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 деловой древесины один раз в 50 лет;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-  для ремонта жилого дома и надворных построек -</w:t>
      </w:r>
      <w:r>
        <w:rPr>
          <w:rFonts w:ascii="PT Astra Serif" w:hAnsi="PT Astra Serif" w:cs="PT Astra Serif" w:eastAsia="PT Astra Serif"/>
          <w:color w:val="FF0000"/>
          <w:sz w:val="28"/>
          <w:szCs w:val="28"/>
          <w:shd w:val="clear" w:color="auto" w:fill="FFFFFF"/>
        </w:rPr>
        <w:t xml:space="preserve"> </w:t>
      </w:r>
      <w:r>
        <w:rPr>
          <w:rFonts w:ascii="PT Astra Serif" w:hAnsi="PT Astra Serif" w:cs="PT Astra Serif" w:eastAsia="PT Astra Serif"/>
          <w:b/>
          <w:color w:val="FF0000"/>
          <w:sz w:val="28"/>
          <w:szCs w:val="28"/>
          <w:shd w:val="clear" w:color="auto" w:fill="FFFFFF"/>
        </w:rPr>
        <w:t xml:space="preserve">до 24 куб. м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 деловой древесины один раз в 15 лет;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/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-  для отопления жилых и бытовых помещений с печным отоплением - </w:t>
      </w:r>
      <w:r>
        <w:rPr>
          <w:rFonts w:ascii="PT Astra Serif" w:hAnsi="PT Astra Serif" w:cs="PT Astra Serif" w:eastAsia="PT Astra Serif"/>
          <w:b/>
          <w:color w:val="FF0000"/>
          <w:sz w:val="28"/>
          <w:szCs w:val="28"/>
          <w:shd w:val="clear" w:color="auto" w:fill="FFFFFF"/>
        </w:rPr>
        <w:t xml:space="preserve">до 15 куб. м</w:t>
      </w:r>
      <w:r>
        <w:rPr>
          <w:rFonts w:ascii="PT Astra Serif" w:hAnsi="PT Astra Serif" w:cs="PT Astra Serif" w:eastAsia="PT Astra Serif"/>
          <w:sz w:val="28"/>
          <w:szCs w:val="28"/>
          <w:shd w:val="clear" w:color="auto" w:fill="FFFFFF"/>
        </w:rPr>
        <w:t xml:space="preserve"> дровяной древесины ежегодно.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jc w:val="center"/>
        <w:spacing w:after="0"/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П</w:t>
      </w: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орядок заключения гражданами договоров купли–продажи лесных насаждений для собственных нужд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П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орядок заключения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гражданами договоров купли–продажи лесных насаждений для собственны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х нужд на территории Саратовской области (далее – Порядок), утвержден постановлением Правительства Саратовской области от 11.09.2007 года № 311-П «Об утверждении Порядка заключения гражданами договоров купли-продажи лесных насаждений для собственных нужд».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Типовой договор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купли–продажи лесных насаждений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утвержден Приказом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Минприроды России от 27.07.2020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№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488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«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Об утверждении типового договора купли-продажи лесных насаждений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»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Согласно Порядку заключение договоров купли–продажи лесных насаждений для собственных нужд носит заявительный характер. Гражданин, заинт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ересованный в заготовке древесины для собственных нужд, подает заявление в министерство природных ресурсов и экологии области (далее – Министерство) по адресу: г. Саратов, ул. Университетская, 45/51, комната № 801. В заявлении указывает следующие сведения: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numPr>
          <w:ilvl w:val="0"/>
          <w:numId w:val="2"/>
        </w:numPr>
        <w:ind w:left="0" w:firstLine="709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фамилия, имя, отчество гражданина, дата его рождения, адрес места жительства, реквизиты документа, удостоверяющего личность, идентификационный номер налогоплательщика (при его наличии);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numPr>
          <w:ilvl w:val="0"/>
          <w:numId w:val="2"/>
        </w:numPr>
        <w:ind w:left="0"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наименование лесничества, в границах которого предполагается осуществить куплю-продажу лесных насаждений;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numPr>
          <w:ilvl w:val="0"/>
          <w:numId w:val="2"/>
        </w:numPr>
        <w:ind w:left="0"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цель использования, требуемый объем древесины и ее качественные показатели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 (для строительства и ремонта жилого дома и надворных – ДЕЛОВАЯ, для отопления жилых и бытовых помещений с печным ДРОВЯНАЯ)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;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numPr>
          <w:ilvl w:val="0"/>
          <w:numId w:val="2"/>
        </w:numPr>
        <w:ind w:left="0" w:firstLine="709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сведения о жилых и (или) бытовых помещениях (адрес (местоположение), площадь, кадастровый (условный) номер объекта) в случае, когда целью заготовки древесины является отопление жилых и (или) бытовых помещений с печным отоплением.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В соответствии с Порядком вместе с заявлением гражданин предоставляет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паспорт или иной документ, удостоверяющий личность гражданина, который возвращается ему после заверения его копии сотрудником Министерства, либо засвидетельствованную в нотариальном порядке копию паспорта, или иного документа, удостоверяющего его личность.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Форма заявления для заключения договора купли-продажи лесных насаждений для собственных нужд граждан размещена на официальном сайте министерства в разделе </w:t>
      </w:r>
      <w:r>
        <w:rPr>
          <w:rFonts w:ascii="PT Astra Serif" w:hAnsi="PT Astra Serif" w:cs="PT Astra Serif" w:eastAsia="PT Astra Serif"/>
          <w:color w:val="FF0000"/>
          <w:sz w:val="28"/>
          <w:szCs w:val="28"/>
        </w:rPr>
        <w:t xml:space="preserve">«Образцы заявлений для подачи в отдел использования лесов и государственной экспертизы».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Решение о заключении договора купли-продажи лесных насаждений для собственных нужд, либо о возвращении гражданину заявления принимается комиссией Министерства после рассмотрения поданного гражданином зая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вления в соответствии с установленным Порядком. 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В соответствии со статьей 76 Лесного кодекса Российской Федерации плата по договору купли-продажи лесных насаждений для собственных нужд определяется по ставкам, устанавливаемым органами государственной власти субъектов Российской Федерации.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jc w:val="center"/>
        <w:spacing w:after="0"/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</w:pPr>
      <w:r>
        <w:rPr>
          <w:rFonts w:ascii="PT Astra Serif" w:hAnsi="PT Astra Serif" w:cs="PT Astra Serif" w:eastAsia="PT Astra Serif"/>
          <w:b/>
          <w:sz w:val="28"/>
          <w:szCs w:val="28"/>
          <w:shd w:val="clear" w:color="auto" w:fill="FFFFFF"/>
        </w:rPr>
        <w:t xml:space="preserve">Действующие ставки платы за единицу лесных насаждений по договору купли-продажи для собственных нужд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Ставки платы за заготовку гражданами древесины по договору купли-продажи лесных насаждений для собственных нужд на территории Саратовской области установлены постановлением Правительства Саратовской области от 11.09.2007 года № 310-П «Об установлении 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ставок платы по договору купли-</w:t>
      </w:r>
      <w:r>
        <w:rPr>
          <w:rFonts w:ascii="PT Astra Serif" w:hAnsi="PT Astra Serif" w:cs="PT Astra Serif" w:eastAsia="PT Astra Serif"/>
          <w:sz w:val="28"/>
          <w:szCs w:val="28"/>
        </w:rPr>
        <w:t xml:space="preserve">продажи лесных насаждений для собственных нужд».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b/>
          <w:sz w:val="28"/>
          <w:szCs w:val="28"/>
        </w:rPr>
      </w:pPr>
      <w:r>
        <w:rPr>
          <w:rFonts w:ascii="PT Astra Serif" w:hAnsi="PT Astra Serif" w:cs="PT Astra Serif" w:eastAsia="PT Astra Serif"/>
          <w:b/>
          <w:sz w:val="28"/>
          <w:szCs w:val="28"/>
        </w:rPr>
        <w:t xml:space="preserve">Ставки платы за единицу лесных насаждений по договору купли-продажи для собственных нужд:</w:t>
      </w:r>
      <w:r>
        <w:rPr>
          <w:rFonts w:ascii="PT Astra Serif" w:hAnsi="PT Astra Serif" w:cs="PT Astra Serif" w:eastAsia="PT Astra Serif"/>
        </w:rPr>
      </w:r>
      <w:r/>
    </w:p>
    <w:tbl>
      <w:tblPr>
        <w:tblW w:w="9702" w:type="dxa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623"/>
        <w:gridCol w:w="992"/>
        <w:gridCol w:w="1559"/>
        <w:gridCol w:w="1418"/>
        <w:gridCol w:w="1417"/>
        <w:gridCol w:w="1276"/>
        <w:gridCol w:w="1417"/>
      </w:tblGrid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3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Лесные породы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Разряды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такс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Расстояние вывозки, км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gridSpan w:val="4"/>
            <w:shd w:val="clear" w:color="auto" w:fill="FFFFFF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528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Ставка платы, рублей за 1 плотный куб. м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  <w:trHeight w:val="200"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b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b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b/>
                <w:color w:val="333333"/>
                <w:sz w:val="18"/>
                <w:szCs w:val="18"/>
              </w:rPr>
            </w:r>
            <w:r/>
          </w:p>
        </w:tc>
        <w:tc>
          <w:tcPr>
            <w:gridSpan w:val="3"/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4111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деловая древесина без коры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дровяная древесина (в коре)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  <w:trHeight w:val="50"/>
        </w:trPr>
        <w:tc>
          <w:tcPr>
            <w:shd w:val="clear" w:color="auto" w:fill="FFFFFF"/>
            <w:tcBorders>
              <w:left w:val="single" w:color="000000" w:sz="8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b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b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single" w:color="000000" w:sz="8" w:space="0"/>
              <w:right w:val="single" w:color="000000" w:sz="8" w:space="0"/>
              <w:bottom w:val="single" w:color="000000" w:sz="8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b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крупная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средняя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b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b/>
                <w:color w:val="333333"/>
                <w:sz w:val="20"/>
                <w:szCs w:val="20"/>
              </w:rPr>
              <w:t xml:space="preserve">мелкая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/>
              <w:rPr>
                <w:rFonts w:ascii="Arial" w:hAnsi="Arial"/>
                <w:b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b/>
                <w:color w:val="333333"/>
                <w:sz w:val="18"/>
                <w:szCs w:val="18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3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20"/>
                <w:szCs w:val="20"/>
              </w:rPr>
              <w:t xml:space="preserve">Сосна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до 10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227,88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162,90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81,36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5,58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10,1 - 25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207,18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147,78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73,80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5,58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25,1 - 40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176,04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125,82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63,90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4,32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40,1 - 60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134,64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96,48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48,78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4,32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3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jc w:val="both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20"/>
                <w:szCs w:val="20"/>
              </w:rPr>
              <w:t xml:space="preserve">Лиственница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до 10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182,34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130,14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65,16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5,58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10,1 - 25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165,96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118,62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59,40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4,32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25,1 - 40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140,94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100,98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50,22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4,32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40,1 - 60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108,18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77,04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38,34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3,06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3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20"/>
                <w:szCs w:val="20"/>
              </w:rPr>
              <w:t xml:space="preserve">Дуб, ясень, клен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до 10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513,18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366,66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184,50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16,02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10,1 - 25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466,02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333,54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166,68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13,14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25,1 - 40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397,80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284,58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142,20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11,34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40,1 - 60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304,38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217,80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109,08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8,46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3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20"/>
                <w:szCs w:val="20"/>
              </w:rPr>
              <w:t xml:space="preserve">Береза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до 10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114,12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81,36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41,58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6,66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10,1 - 25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103,50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73,80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37,08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6,66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25,1 - 40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88,92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63,90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31,14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5,40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40,1 - 60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68,22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48,78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23,94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4,68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3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20"/>
                <w:szCs w:val="20"/>
              </w:rPr>
              <w:t xml:space="preserve">Ольха черная, ильм, липа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до 10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68,22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48,78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25,20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1,26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10,1 - 25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61,92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44,28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21,96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1,26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25,1 - 40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53,10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38,34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19,44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1,26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40,1 - 60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39,96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29,52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15,12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1,26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623" w:type="dxa"/>
            <w:vAlign w:val="top"/>
            <w:vMerge w:val="restart"/>
            <w:textDirection w:val="lrTb"/>
            <w:noWrap w:val="false"/>
          </w:tcPr>
          <w:p>
            <w:pPr>
              <w:pStyle w:val="633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20"/>
                <w:szCs w:val="20"/>
              </w:rPr>
              <w:t xml:space="preserve">Осина, тополь, ива древовидная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до 10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34,02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24,12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12,24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0,90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10,1 - 25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30,78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21,96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10,98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0,90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3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25,1 - 40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26,46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21,06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9,72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0,90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  <w:tr>
        <w:trPr>
          <w:cantSplit/>
        </w:trPr>
        <w:tc>
          <w:tcPr>
            <w:shd w:val="clear" w:color="auto" w:fill="FFFFFF"/>
            <w:tcBorders>
              <w:left w:val="single" w:color="000000" w:sz="8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W w:w="1623" w:type="dxa"/>
            <w:vAlign w:val="center"/>
            <w:vMerge w:val="continue"/>
            <w:textDirection w:val="lrTb"/>
            <w:noWrap w:val="false"/>
          </w:tcPr>
          <w:p>
            <w:pPr>
              <w:pStyle w:val="633"/>
              <w:spacing w:lineRule="auto" w:line="240" w:after="0"/>
              <w:rPr>
                <w:rFonts w:ascii="Arial" w:hAnsi="Arial"/>
                <w:color w:val="333333"/>
                <w:sz w:val="18"/>
                <w:szCs w:val="18"/>
              </w:rPr>
            </w:pPr>
            <w:r>
              <w:rPr>
                <w:rFonts w:ascii="Arial" w:hAnsi="Arial"/>
                <w:color w:val="333333"/>
                <w:sz w:val="18"/>
                <w:szCs w:val="18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92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40,1 - 60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8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19,80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14,40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276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7,56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  <w:tc>
          <w:tcPr>
            <w:shd w:val="clear" w:color="auto" w:fill="FFFFFF"/>
            <w:tcBorders>
              <w:left w:val="none" w:color="000000" w:sz="4" w:space="0"/>
              <w:top w:val="none" w:color="000000" w:sz="4" w:space="0"/>
              <w:right w:val="single" w:color="000000" w:sz="8" w:space="0"/>
              <w:bottom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1417" w:type="dxa"/>
            <w:vAlign w:val="top"/>
            <w:textDirection w:val="lrTb"/>
            <w:noWrap w:val="false"/>
          </w:tcPr>
          <w:p>
            <w:pPr>
              <w:pStyle w:val="633"/>
              <w:jc w:val="center"/>
              <w:spacing w:lineRule="auto" w:line="240" w:after="0" w:afterAutospacing="1" w:beforeAutospacing="1"/>
              <w:rPr>
                <w:rFonts w:ascii="PT Astra Serif" w:hAnsi="PT Astra Serif" w:cs="PT Astra Serif" w:eastAsia="PT Astra Serif"/>
                <w:color w:val="333333"/>
                <w:sz w:val="18"/>
                <w:szCs w:val="18"/>
              </w:rPr>
            </w:pPr>
            <w:r>
              <w:rPr>
                <w:rFonts w:ascii="PT Astra Serif" w:hAnsi="PT Astra Serif" w:cs="PT Astra Serif" w:eastAsia="PT Astra Serif"/>
                <w:color w:val="333333"/>
                <w:sz w:val="16"/>
                <w:szCs w:val="16"/>
              </w:rPr>
              <w:t xml:space="preserve">0,90</w:t>
            </w:r>
            <w:r>
              <w:rPr>
                <w:rFonts w:ascii="PT Astra Serif" w:hAnsi="PT Astra Serif" w:cs="PT Astra Serif" w:eastAsia="PT Astra Serif"/>
              </w:rPr>
            </w:r>
            <w:r/>
          </w:p>
        </w:tc>
      </w:tr>
    </w:tbl>
    <w:p>
      <w:pPr>
        <w:pStyle w:val="633"/>
        <w:ind w:firstLine="720"/>
        <w:jc w:val="both"/>
        <w:spacing w:lineRule="auto" w:line="240" w:after="0" w:before="24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Разряд такс для каждого лесного квартала устанавливается исходя из расстояния от центра лесного квартала до ближайшего пункта, откуда возможна погрузка и перевозка древесины железнодорожным транспортом, водным транспортом или сплав древесины. 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sz w:val="28"/>
          <w:szCs w:val="28"/>
        </w:rPr>
      </w:pPr>
      <w:r>
        <w:rPr>
          <w:rFonts w:ascii="PT Astra Serif" w:hAnsi="PT Astra Serif" w:cs="PT Astra Serif" w:eastAsia="PT Astra Serif"/>
          <w:sz w:val="28"/>
          <w:szCs w:val="28"/>
        </w:rPr>
        <w:t xml:space="preserve">Распределение кварталов лесничества по разрядам такс указано в лесохозяйственном регламенте.</w:t>
      </w:r>
      <w:r>
        <w:rPr>
          <w:rFonts w:ascii="PT Astra Serif" w:hAnsi="PT Astra Serif" w:cs="PT Astra Serif" w:eastAsia="PT Astra Serif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b/>
          <w:color w:val="000000"/>
          <w:sz w:val="28"/>
          <w:szCs w:val="28"/>
        </w:rPr>
      </w:pPr>
      <w:r>
        <w:rPr>
          <w:rFonts w:ascii="PT Astra Serif" w:hAnsi="PT Astra Serif" w:cs="PT Astra Serif" w:eastAsia="PT Astra Serif"/>
          <w:b/>
          <w:i/>
          <w:color w:val="000000" w:themeColor="text1"/>
          <w:sz w:val="28"/>
          <w:szCs w:val="28"/>
        </w:rPr>
        <w:t xml:space="preserve">Обращаем Ваше внимание, что на сегодняшний день имеется возможность подачи заявления в министерство через Единый портал государственных и муниципальных услуг.</w:t>
      </w:r>
      <w:r>
        <w:rPr>
          <w:rFonts w:ascii="PT Astra Serif" w:hAnsi="PT Astra Serif" w:cs="PT Astra Serif" w:eastAsia="PT Astra Serif"/>
          <w:b/>
          <w:i/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</w:rPr>
      </w:r>
      <w:r/>
    </w:p>
    <w:p>
      <w:pPr>
        <w:pStyle w:val="633"/>
        <w:ind w:firstLine="720"/>
        <w:jc w:val="both"/>
        <w:spacing w:lineRule="auto" w:line="240" w:after="0"/>
        <w:rPr>
          <w:rFonts w:ascii="PT Astra Serif" w:hAnsi="PT Astra Serif" w:cs="PT Astra Serif" w:eastAsia="PT Astra Serif"/>
          <w:b/>
          <w:color w:val="FF0000"/>
          <w:sz w:val="28"/>
          <w:szCs w:val="28"/>
        </w:rPr>
      </w:pPr>
      <w:r>
        <w:rPr>
          <w:rFonts w:ascii="PT Astra Serif" w:hAnsi="PT Astra Serif" w:cs="PT Astra Serif" w:eastAsia="PT Astra Serif"/>
          <w:b/>
          <w:color w:val="FF0000"/>
          <w:sz w:val="28"/>
          <w:szCs w:val="28"/>
        </w:rPr>
      </w:r>
      <w:r>
        <w:rPr>
          <w:rFonts w:ascii="PT Astra Serif" w:hAnsi="PT Astra Serif" w:cs="PT Astra Serif" w:eastAsia="PT Astra Serif"/>
          <w:b/>
          <w:color w:val="FF0000"/>
          <w:sz w:val="28"/>
          <w:szCs w:val="28"/>
        </w:rPr>
      </w:r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3"/>
        <w:ind w:left="121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3"/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33"/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33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33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33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33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33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33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33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33"/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Times New Roman"/>
        <w:color w:val="auto"/>
        <w:spacing w:val="0"/>
        <w:position w:val="0"/>
        <w:sz w:val="20"/>
        <w:szCs w:val="22"/>
        <w:lang w:val="ru-RU" w:bidi="ar-SA" w:eastAsia="zh-CN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55">
    <w:name w:val="Heading 1"/>
    <w:link w:val="45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56">
    <w:name w:val="Heading 1 Char"/>
    <w:link w:val="455"/>
    <w:uiPriority w:val="9"/>
    <w:rPr>
      <w:rFonts w:ascii="Arial" w:hAnsi="Arial" w:cs="Arial" w:eastAsia="Arial"/>
      <w:sz w:val="40"/>
      <w:szCs w:val="40"/>
    </w:rPr>
  </w:style>
  <w:style w:type="paragraph" w:styleId="457">
    <w:name w:val="Heading 2"/>
    <w:link w:val="45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8">
    <w:name w:val="Heading 2 Char"/>
    <w:link w:val="457"/>
    <w:uiPriority w:val="9"/>
    <w:rPr>
      <w:rFonts w:ascii="Arial" w:hAnsi="Arial" w:cs="Arial" w:eastAsia="Arial"/>
      <w:sz w:val="34"/>
    </w:rPr>
  </w:style>
  <w:style w:type="paragraph" w:styleId="459">
    <w:name w:val="Heading 3"/>
    <w:link w:val="46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60">
    <w:name w:val="Heading 3 Char"/>
    <w:link w:val="459"/>
    <w:uiPriority w:val="9"/>
    <w:rPr>
      <w:rFonts w:ascii="Arial" w:hAnsi="Arial" w:cs="Arial" w:eastAsia="Arial"/>
      <w:sz w:val="30"/>
      <w:szCs w:val="30"/>
    </w:rPr>
  </w:style>
  <w:style w:type="paragraph" w:styleId="461">
    <w:name w:val="Heading 4"/>
    <w:link w:val="46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62">
    <w:name w:val="Heading 4 Char"/>
    <w:link w:val="461"/>
    <w:uiPriority w:val="9"/>
    <w:rPr>
      <w:rFonts w:ascii="Arial" w:hAnsi="Arial" w:cs="Arial" w:eastAsia="Arial"/>
      <w:b/>
      <w:bCs/>
      <w:sz w:val="26"/>
      <w:szCs w:val="26"/>
    </w:rPr>
  </w:style>
  <w:style w:type="paragraph" w:styleId="463">
    <w:name w:val="Heading 5"/>
    <w:link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64">
    <w:name w:val="Heading 5 Char"/>
    <w:link w:val="463"/>
    <w:uiPriority w:val="9"/>
    <w:rPr>
      <w:rFonts w:ascii="Arial" w:hAnsi="Arial" w:cs="Arial" w:eastAsia="Arial"/>
      <w:b/>
      <w:bCs/>
      <w:sz w:val="24"/>
      <w:szCs w:val="24"/>
    </w:rPr>
  </w:style>
  <w:style w:type="paragraph" w:styleId="465">
    <w:name w:val="Heading 6"/>
    <w:link w:val="46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6">
    <w:name w:val="Heading 6 Char"/>
    <w:link w:val="465"/>
    <w:uiPriority w:val="9"/>
    <w:rPr>
      <w:rFonts w:ascii="Arial" w:hAnsi="Arial" w:cs="Arial" w:eastAsia="Arial"/>
      <w:b/>
      <w:bCs/>
      <w:sz w:val="22"/>
      <w:szCs w:val="22"/>
    </w:rPr>
  </w:style>
  <w:style w:type="paragraph" w:styleId="467">
    <w:name w:val="Heading 7"/>
    <w:link w:val="46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8">
    <w:name w:val="Heading 7 Char"/>
    <w:link w:val="4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9">
    <w:name w:val="Heading 8"/>
    <w:link w:val="47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70">
    <w:name w:val="Heading 8 Char"/>
    <w:link w:val="469"/>
    <w:uiPriority w:val="9"/>
    <w:rPr>
      <w:rFonts w:ascii="Arial" w:hAnsi="Arial" w:cs="Arial" w:eastAsia="Arial"/>
      <w:i/>
      <w:iCs/>
      <w:sz w:val="22"/>
      <w:szCs w:val="22"/>
    </w:rPr>
  </w:style>
  <w:style w:type="paragraph" w:styleId="471">
    <w:name w:val="Heading 9"/>
    <w:link w:val="47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2">
    <w:name w:val="Heading 9 Char"/>
    <w:link w:val="471"/>
    <w:uiPriority w:val="9"/>
    <w:rPr>
      <w:rFonts w:ascii="Arial" w:hAnsi="Arial" w:cs="Arial" w:eastAsia="Arial"/>
      <w:i/>
      <w:iCs/>
      <w:sz w:val="21"/>
      <w:szCs w:val="21"/>
    </w:rPr>
  </w:style>
  <w:style w:type="paragraph" w:styleId="473">
    <w:name w:val="List Paragraph"/>
    <w:qFormat/>
    <w:uiPriority w:val="34"/>
    <w:pPr>
      <w:contextualSpacing w:val="true"/>
      <w:ind w:left="720"/>
    </w:pPr>
  </w:style>
  <w:style w:type="paragraph" w:styleId="474">
    <w:name w:val="No Spacing"/>
    <w:qFormat/>
    <w:uiPriority w:val="1"/>
    <w:pPr>
      <w:spacing w:lineRule="auto" w:line="240" w:after="0" w:before="0"/>
    </w:pPr>
  </w:style>
  <w:style w:type="paragraph" w:styleId="475">
    <w:name w:val="Title"/>
    <w:link w:val="47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6">
    <w:name w:val="Title Char"/>
    <w:link w:val="475"/>
    <w:uiPriority w:val="10"/>
    <w:rPr>
      <w:sz w:val="48"/>
      <w:szCs w:val="48"/>
    </w:rPr>
  </w:style>
  <w:style w:type="paragraph" w:styleId="477">
    <w:name w:val="Subtitle"/>
    <w:link w:val="478"/>
    <w:qFormat/>
    <w:uiPriority w:val="11"/>
    <w:rPr>
      <w:sz w:val="24"/>
      <w:szCs w:val="24"/>
    </w:rPr>
    <w:pPr>
      <w:spacing w:after="200" w:before="200"/>
    </w:pPr>
  </w:style>
  <w:style w:type="character" w:styleId="478">
    <w:name w:val="Subtitle Char"/>
    <w:link w:val="477"/>
    <w:uiPriority w:val="11"/>
    <w:rPr>
      <w:sz w:val="24"/>
      <w:szCs w:val="24"/>
    </w:rPr>
  </w:style>
  <w:style w:type="paragraph" w:styleId="479">
    <w:name w:val="Quote"/>
    <w:link w:val="480"/>
    <w:qFormat/>
    <w:uiPriority w:val="29"/>
    <w:rPr>
      <w:i/>
    </w:rPr>
    <w:pPr>
      <w:ind w:left="720" w:right="720"/>
    </w:pPr>
  </w:style>
  <w:style w:type="character" w:styleId="480">
    <w:name w:val="Quote Char"/>
    <w:link w:val="479"/>
    <w:uiPriority w:val="29"/>
    <w:rPr>
      <w:i/>
    </w:rPr>
  </w:style>
  <w:style w:type="paragraph" w:styleId="481">
    <w:name w:val="Intense Quote"/>
    <w:link w:val="482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82">
    <w:name w:val="Intense Quote Char"/>
    <w:link w:val="481"/>
    <w:uiPriority w:val="30"/>
    <w:rPr>
      <w:i/>
    </w:rPr>
  </w:style>
  <w:style w:type="paragraph" w:styleId="483">
    <w:name w:val="Header"/>
    <w:link w:val="48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4">
    <w:name w:val="Header Char"/>
    <w:link w:val="483"/>
    <w:uiPriority w:val="99"/>
  </w:style>
  <w:style w:type="paragraph" w:styleId="485">
    <w:name w:val="Footer"/>
    <w:link w:val="488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6">
    <w:name w:val="Footer Char"/>
    <w:link w:val="485"/>
    <w:uiPriority w:val="99"/>
  </w:style>
  <w:style w:type="paragraph" w:styleId="487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8">
    <w:name w:val="Caption Char"/>
    <w:basedOn w:val="487"/>
    <w:link w:val="485"/>
    <w:uiPriority w:val="99"/>
  </w:style>
  <w:style w:type="table" w:styleId="489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0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1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2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3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4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6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2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3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4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5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6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7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8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9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20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21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22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23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24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25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26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27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28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29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30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31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32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33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34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35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6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7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8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53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54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55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6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7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8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9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5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6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7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8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9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80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81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82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83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84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85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6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7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8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89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90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91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92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93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94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95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96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97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98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99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0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1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02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03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04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05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06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07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08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9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10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11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12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13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14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15">
    <w:name w:val="Hyperlink"/>
    <w:uiPriority w:val="99"/>
    <w:unhideWhenUsed/>
    <w:rPr>
      <w:color w:val="0000FF" w:themeColor="hyperlink"/>
      <w:u w:val="single"/>
    </w:rPr>
  </w:style>
  <w:style w:type="paragraph" w:styleId="616">
    <w:name w:val="footnote text"/>
    <w:link w:val="617"/>
    <w:uiPriority w:val="99"/>
    <w:semiHidden/>
    <w:unhideWhenUsed/>
    <w:rPr>
      <w:sz w:val="18"/>
    </w:rPr>
    <w:pPr>
      <w:spacing w:lineRule="auto" w:line="240" w:after="40"/>
    </w:pPr>
  </w:style>
  <w:style w:type="character" w:styleId="617">
    <w:name w:val="Footnote Text Char"/>
    <w:link w:val="616"/>
    <w:uiPriority w:val="99"/>
    <w:rPr>
      <w:sz w:val="18"/>
    </w:rPr>
  </w:style>
  <w:style w:type="character" w:styleId="618">
    <w:name w:val="footnote reference"/>
    <w:uiPriority w:val="99"/>
    <w:unhideWhenUsed/>
    <w:rPr>
      <w:vertAlign w:val="superscript"/>
    </w:rPr>
  </w:style>
  <w:style w:type="paragraph" w:styleId="619">
    <w:name w:val="endnote text"/>
    <w:link w:val="620"/>
    <w:uiPriority w:val="99"/>
    <w:semiHidden/>
    <w:unhideWhenUsed/>
    <w:rPr>
      <w:sz w:val="20"/>
    </w:rPr>
    <w:pPr>
      <w:spacing w:lineRule="auto" w:line="240" w:after="0"/>
    </w:pPr>
  </w:style>
  <w:style w:type="character" w:styleId="620">
    <w:name w:val="Endnote Text Char"/>
    <w:link w:val="619"/>
    <w:uiPriority w:val="99"/>
    <w:rPr>
      <w:sz w:val="20"/>
    </w:rPr>
  </w:style>
  <w:style w:type="character" w:styleId="621">
    <w:name w:val="endnote reference"/>
    <w:uiPriority w:val="99"/>
    <w:semiHidden/>
    <w:unhideWhenUsed/>
    <w:rPr>
      <w:vertAlign w:val="superscript"/>
    </w:rPr>
  </w:style>
  <w:style w:type="paragraph" w:styleId="622">
    <w:name w:val="toc 1"/>
    <w:uiPriority w:val="39"/>
    <w:unhideWhenUsed/>
    <w:pPr>
      <w:ind w:left="0" w:right="0" w:firstLine="0"/>
      <w:spacing w:after="57"/>
    </w:pPr>
  </w:style>
  <w:style w:type="paragraph" w:styleId="623">
    <w:name w:val="toc 2"/>
    <w:uiPriority w:val="39"/>
    <w:unhideWhenUsed/>
    <w:pPr>
      <w:ind w:left="283" w:right="0" w:firstLine="0"/>
      <w:spacing w:after="57"/>
    </w:pPr>
  </w:style>
  <w:style w:type="paragraph" w:styleId="624">
    <w:name w:val="toc 3"/>
    <w:uiPriority w:val="39"/>
    <w:unhideWhenUsed/>
    <w:pPr>
      <w:ind w:left="567" w:right="0" w:firstLine="0"/>
      <w:spacing w:after="57"/>
    </w:pPr>
  </w:style>
  <w:style w:type="paragraph" w:styleId="625">
    <w:name w:val="toc 4"/>
    <w:uiPriority w:val="39"/>
    <w:unhideWhenUsed/>
    <w:pPr>
      <w:ind w:left="850" w:right="0" w:firstLine="0"/>
      <w:spacing w:after="57"/>
    </w:pPr>
  </w:style>
  <w:style w:type="paragraph" w:styleId="626">
    <w:name w:val="toc 5"/>
    <w:uiPriority w:val="39"/>
    <w:unhideWhenUsed/>
    <w:pPr>
      <w:ind w:left="1134" w:right="0" w:firstLine="0"/>
      <w:spacing w:after="57"/>
    </w:pPr>
  </w:style>
  <w:style w:type="paragraph" w:styleId="627">
    <w:name w:val="toc 6"/>
    <w:uiPriority w:val="39"/>
    <w:unhideWhenUsed/>
    <w:pPr>
      <w:ind w:left="1417" w:right="0" w:firstLine="0"/>
      <w:spacing w:after="57"/>
    </w:pPr>
  </w:style>
  <w:style w:type="paragraph" w:styleId="628">
    <w:name w:val="toc 7"/>
    <w:uiPriority w:val="39"/>
    <w:unhideWhenUsed/>
    <w:pPr>
      <w:ind w:left="1701" w:right="0" w:firstLine="0"/>
      <w:spacing w:after="57"/>
    </w:pPr>
  </w:style>
  <w:style w:type="paragraph" w:styleId="629">
    <w:name w:val="toc 8"/>
    <w:uiPriority w:val="39"/>
    <w:unhideWhenUsed/>
    <w:pPr>
      <w:ind w:left="1984" w:right="0" w:firstLine="0"/>
      <w:spacing w:after="57"/>
    </w:pPr>
  </w:style>
  <w:style w:type="paragraph" w:styleId="630">
    <w:name w:val="toc 9"/>
    <w:uiPriority w:val="39"/>
    <w:unhideWhenUsed/>
    <w:pPr>
      <w:ind w:left="2268" w:right="0" w:firstLine="0"/>
      <w:spacing w:after="57"/>
    </w:pPr>
  </w:style>
  <w:style w:type="paragraph" w:styleId="631">
    <w:name w:val="TOC Heading"/>
    <w:uiPriority w:val="39"/>
    <w:unhideWhenUsed/>
  </w:style>
  <w:style w:type="paragraph" w:styleId="632">
    <w:name w:val="table of figures"/>
    <w:uiPriority w:val="99"/>
    <w:unhideWhenUsed/>
    <w:pPr>
      <w:spacing w:after="0" w:afterAutospacing="0"/>
    </w:pPr>
  </w:style>
  <w:style w:type="paragraph" w:styleId="633">
    <w:name w:val="Обычный"/>
    <w:next w:val="633"/>
    <w:link w:val="633"/>
    <w:rPr>
      <w:sz w:val="22"/>
      <w:szCs w:val="22"/>
      <w:lang w:val="ru-RU" w:bidi="ar-SA" w:eastAsia="ru-RU"/>
    </w:rPr>
    <w:pPr>
      <w:spacing w:lineRule="auto" w:line="276" w:after="200"/>
    </w:pPr>
  </w:style>
  <w:style w:type="character" w:styleId="634">
    <w:name w:val="Основной шрифт абзаца"/>
    <w:next w:val="634"/>
    <w:link w:val="633"/>
    <w:semiHidden/>
  </w:style>
  <w:style w:type="table" w:styleId="635">
    <w:name w:val="Обычная таблица"/>
    <w:next w:val="635"/>
    <w:link w:val="633"/>
    <w:semiHidden/>
    <w:tblPr/>
  </w:style>
  <w:style w:type="numbering" w:styleId="636">
    <w:name w:val="Нет списка"/>
    <w:next w:val="636"/>
    <w:link w:val="633"/>
    <w:semiHidden/>
  </w:style>
  <w:style w:type="paragraph" w:styleId="637">
    <w:name w:val="ConsPlusNormal"/>
    <w:next w:val="637"/>
    <w:link w:val="633"/>
    <w:rPr>
      <w:rFonts w:ascii="Arial" w:hAnsi="Arial"/>
      <w:lang w:val="ru-RU" w:bidi="ar-SA" w:eastAsia="ar-SA"/>
    </w:rPr>
    <w:pPr>
      <w:ind w:firstLine="720"/>
      <w:widowControl w:val="off"/>
    </w:pPr>
  </w:style>
  <w:style w:type="paragraph" w:styleId="638">
    <w:name w:val="consplusnormal"/>
    <w:basedOn w:val="633"/>
    <w:next w:val="638"/>
    <w:link w:val="633"/>
    <w:rPr>
      <w:rFonts w:ascii="Times New Roman" w:hAnsi="Times New Roman"/>
      <w:sz w:val="24"/>
      <w:szCs w:val="24"/>
    </w:rPr>
    <w:pPr>
      <w:spacing w:lineRule="auto" w:line="240" w:after="100" w:afterAutospacing="1" w:before="100" w:beforeAutospacing="1"/>
    </w:pPr>
  </w:style>
  <w:style w:type="table" w:styleId="639">
    <w:name w:val="Сетка таблицы"/>
    <w:basedOn w:val="635"/>
    <w:next w:val="639"/>
    <w:link w:val="633"/>
    <w:tblPr/>
  </w:style>
  <w:style w:type="character" w:styleId="640">
    <w:name w:val="Гиперссылка"/>
    <w:basedOn w:val="634"/>
    <w:next w:val="640"/>
    <w:link w:val="633"/>
    <w:rPr>
      <w:color w:val="0000FF"/>
      <w:u w:val="single"/>
    </w:rPr>
  </w:style>
  <w:style w:type="character" w:styleId="641" w:default="1">
    <w:name w:val="Default Paragraph Font"/>
    <w:uiPriority w:val="1"/>
    <w:semiHidden/>
    <w:unhideWhenUsed/>
  </w:style>
  <w:style w:type="numbering" w:styleId="642" w:default="1">
    <w:name w:val="No List"/>
    <w:uiPriority w:val="99"/>
    <w:semiHidden/>
    <w:unhideWhenUsed/>
  </w:style>
  <w:style w:type="paragraph" w:styleId="643" w:default="1">
    <w:name w:val="Normal"/>
    <w:qFormat/>
  </w:style>
  <w:style w:type="table" w:styleId="64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2023-01-20T06:44:28Z</dcterms:modified>
</cp:coreProperties>
</file>