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FA4" w:rsidRPr="00C3763A" w:rsidRDefault="00C3763A" w:rsidP="00C3763A">
      <w:pPr>
        <w:jc w:val="center"/>
        <w:rPr>
          <w:rFonts w:ascii="PT Astra Serif" w:hAnsi="PT Astra Serif"/>
          <w:b/>
          <w:sz w:val="28"/>
          <w:szCs w:val="28"/>
        </w:rPr>
      </w:pPr>
      <w:r w:rsidRPr="00C3763A">
        <w:rPr>
          <w:rFonts w:ascii="PT Astra Serif" w:hAnsi="PT Astra Serif"/>
          <w:b/>
          <w:sz w:val="28"/>
          <w:szCs w:val="28"/>
        </w:rPr>
        <w:t xml:space="preserve">Форма проекта </w:t>
      </w:r>
      <w:proofErr w:type="spellStart"/>
      <w:r w:rsidRPr="00C3763A">
        <w:rPr>
          <w:rFonts w:ascii="PT Astra Serif" w:hAnsi="PT Astra Serif"/>
          <w:b/>
          <w:sz w:val="28"/>
          <w:szCs w:val="28"/>
        </w:rPr>
        <w:t>лесовосстановления</w:t>
      </w:r>
      <w:proofErr w:type="spellEnd"/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Проект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на лесном участке N __/год 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Лесовосстановление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                                                                           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(естественное,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искусственное</w:t>
      </w:r>
      <w:proofErr w:type="gram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,к</w:t>
      </w:r>
      <w:proofErr w:type="gram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омбинированное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)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Субъект Российской Федерации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Лесной район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местоположения лесного участка: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Лесничество _______________________________________________________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Участковое лесничество 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</w:rPr>
        <w:t>№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квартала ___________________________________________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</w:rPr>
        <w:t>№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выдела __________________________________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Площадь лесного участка, </w:t>
      </w:r>
      <w:proofErr w:type="gram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га</w:t>
      </w:r>
      <w:proofErr w:type="gramEnd"/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(исходные  данные  для  проекта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лесовосстановленияя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: материалы обследования</w:t>
      </w: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лесного  участка  при  выборе  способа 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лесовосстановления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,  план   лесного</w:t>
      </w: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участка, масштаб 1:10 000 прилагаются к проекту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лесовосстановления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)</w:t>
      </w: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лесорастительных условий лесного участка: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Рельеф участка (уклон) 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Гидрологические условия (увлажнение) 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Почва _____________________________________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площадей лесного участка:</w:t>
      </w: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__________________________________________________________________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(вырубки,  гари,  прогалины,  иные  не  занятые  лесными  насаждениями  или</w:t>
      </w: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предназначенные для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лесовосстановления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земли)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вырубки: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Количество пней, тыс. штук/</w:t>
      </w:r>
      <w:proofErr w:type="gram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га</w:t>
      </w:r>
      <w:proofErr w:type="gramEnd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Характер и размещение оставленных деревьев и кустарников (куртины,  полосы,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групповое, равномерное) 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Степень </w:t>
      </w:r>
      <w:proofErr w:type="spell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задернения</w:t>
      </w:r>
      <w:proofErr w:type="spellEnd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почвы (слабая, средняя, 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сильная) ____________________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Степень минерализации почвы (% от площади л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есного участка) ___________</w:t>
      </w:r>
    </w:p>
    <w:p w:rsidR="00C3763A" w:rsidRP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Состояние очистки от  порубочных остатков  и валежника (захламленность, м</w:t>
      </w:r>
      <w:proofErr w:type="gramStart"/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)</w:t>
      </w:r>
      <w:proofErr w:type="gramEnd"/>
      <w:r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C3763A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</w:t>
      </w: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</w:t>
      </w: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а) отсутствует (до 5 м /га); б) </w:t>
      </w:r>
      <w:proofErr w:type="gramStart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слабая</w:t>
      </w:r>
      <w:proofErr w:type="gramEnd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(5 - 20  м /га); в) средняя (20 - 50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м /га); г) </w:t>
      </w:r>
      <w:proofErr w:type="gramStart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сильная</w:t>
      </w:r>
      <w:proofErr w:type="gramEnd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(более 50  м /га)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Категория доступности для техники 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а) доступная;  б) требуется узкополосная расчистка без  корчевки  пней;  в)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требуется узкополосная расчистка; г) требуется широкополосная расчистка </w:t>
      </w:r>
      <w:proofErr w:type="gramStart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с</w:t>
      </w:r>
      <w:proofErr w:type="gramEnd"/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корчевкой пней.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имеющихся подроста и молодняка лесных древесных пород: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состав пород ______________________________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lastRenderedPageBreak/>
        <w:t>средний возраст, лет ______________________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средняя высота, </w:t>
      </w:r>
      <w:proofErr w:type="gramStart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м</w:t>
      </w:r>
      <w:proofErr w:type="gramEnd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_______________________________________________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количество деревьев и кустарников, тыс. шту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к/</w:t>
      </w:r>
      <w:proofErr w:type="gramStart"/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га</w:t>
      </w:r>
      <w:proofErr w:type="gramEnd"/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размещение их по площади лесного участка (равномерное, неравномерное,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групповое)</w:t>
      </w: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состояние лесных насаждений и их оценка 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Проектируемый способ </w:t>
      </w:r>
      <w:proofErr w:type="spellStart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:</w:t>
      </w:r>
    </w:p>
    <w:p w:rsidR="00C3763A" w:rsidRPr="008D23C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</w:t>
      </w:r>
    </w:p>
    <w:p w:rsidR="00C3763A" w:rsidRPr="008D23C0" w:rsidRDefault="00C3763A" w:rsidP="008D23C0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proofErr w:type="gramStart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(естественное    </w:t>
      </w:r>
      <w:proofErr w:type="spellStart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лесовосстановление</w:t>
      </w:r>
      <w:proofErr w:type="spellEnd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,    искусственное   </w:t>
      </w:r>
      <w:proofErr w:type="spellStart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лесовосстановление</w:t>
      </w:r>
      <w:proofErr w:type="spellEnd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,</w:t>
      </w:r>
      <w:r w:rsid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</w:t>
      </w:r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комбинированное </w:t>
      </w:r>
      <w:proofErr w:type="spellStart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лесовосстановление</w:t>
      </w:r>
      <w:proofErr w:type="spellEnd"/>
      <w:r w:rsidRPr="008D23C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(посев, посадка)</w:t>
      </w:r>
      <w:proofErr w:type="gramEnd"/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Обоснование проектируемого способа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основных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лесных</w:t>
      </w: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древесных пород восстанавливаемых лесов с учетом особенностей производства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работ в различных категориях защитных лесов и особо защитных участках лесов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(для лесных участков, предназначенных для проведения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на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 лесовосстановительные мероприятия осуществляются лицами, указанными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 </w:t>
      </w:r>
      <w:hyperlink r:id="rId4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а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 государственными (муниципальными)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5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б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Правил) 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</w:t>
      </w:r>
    </w:p>
    <w:p w:rsidR="009C42DF" w:rsidRPr="009C42DF" w:rsidRDefault="009C42DF" w:rsidP="009C42DF">
      <w:r>
        <w:t>____________________________________________________________________________________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Сроки и технологии  (методы) выполнения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лесовосстановлению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(для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лесных участков, предназначенных для  проведения 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на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 лесовосстановительные мероприятия осуществляются лицами, указанными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 </w:t>
      </w:r>
      <w:hyperlink r:id="rId6" w:history="1"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подпункте «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а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Правил, государственными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(муниципальными)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7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б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Правил) 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_</w:t>
      </w:r>
    </w:p>
    <w:p w:rsidR="009C42DF" w:rsidRDefault="009C42DF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__________________________________________________________________</w:t>
      </w:r>
    </w:p>
    <w:p w:rsidR="009C42DF" w:rsidRDefault="009C42DF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Сроки и технологии (методы) выполнения работ по агротехническим уходам (для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лесных участков, предназначенных для проведения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на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 лесовосстановительные мероприятия осуществляются лицами, указанными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 </w:t>
      </w:r>
      <w:hyperlink r:id="rId8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«а»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 государственными (муниципальными)</w:t>
      </w:r>
      <w:r w:rsidR="009C42DF"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9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«б»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Правил)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</w:t>
      </w:r>
      <w:proofErr w:type="gramEnd"/>
    </w:p>
    <w:p w:rsidR="009C42DF" w:rsidRDefault="009C42DF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Сроки и технологии (методы) выполнения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лесоводственным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уходам (для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лесных участков, предназначенных для проведения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на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 лесовосстановительные мероприятия осуществляются лицами, указанными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 </w:t>
      </w:r>
      <w:hyperlink r:id="rId10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«а»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 государственными (муниципальными)</w:t>
      </w:r>
      <w:r w:rsidR="009C42DF"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11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«б»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Правил)___________________________________________________________</w:t>
      </w:r>
      <w:proofErr w:type="gramEnd"/>
    </w:p>
    <w:p w:rsidR="009C42DF" w:rsidRDefault="009C42DF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Требования к используемому для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посадочному (посевному)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материалу: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lastRenderedPageBreak/>
        <w:t>Порода ___________________________________________________________</w:t>
      </w:r>
    </w:p>
    <w:p w:rsid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Вид посадочного материала (сеянцы, саженцы с открытой (закрытой) корневой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системой, селекционная категория происхождения семян, лесосеменно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й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район)_____________________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возраст, лет ______________________________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высота, 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см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диаметр корневой шейки, 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мм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</w:t>
      </w:r>
    </w:p>
    <w:p w:rsid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Характеристика посевного материала: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Порода _____________________________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Класс качества семян ______________________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Селекционная категория ____________________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Место происхождения (лесосеменной район) __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</w:t>
      </w:r>
    </w:p>
    <w:p w:rsid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Требования к молоднякам, площади которых подлежат отнесению к землям, на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которых расположены леса, для признания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лесовосстановлению</w:t>
      </w:r>
      <w:proofErr w:type="spellEnd"/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завершенными (для лесных участков, предназначенных для проведения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, на 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которых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лесовосстановительные мероприятия</w:t>
      </w:r>
      <w:r w:rsid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осуществляются лицами, указанными в </w:t>
      </w:r>
      <w:hyperlink r:id="rId12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«а»</w:t>
        </w:r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</w:t>
      </w:r>
      <w:r w:rsidR="009C42DF"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государственными (муниципальными) учреждениями, указанными в </w:t>
      </w:r>
      <w:hyperlink r:id="rId13" w:history="1">
        <w:r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9C42DF" w:rsidRPr="009C42DF">
          <w:rPr>
            <w:rFonts w:ascii="PT Astra Serif" w:eastAsiaTheme="minorHAnsi" w:hAnsi="PT Astra Serif" w:cs="Courier New"/>
            <w:b w:val="0"/>
            <w:bCs w:val="0"/>
            <w:color w:val="auto"/>
          </w:rPr>
          <w:t>«б»</w:t>
        </w:r>
      </w:hyperlink>
      <w:r w:rsidR="009C42DF"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пункта 6 Правил):</w:t>
      </w:r>
      <w:proofErr w:type="gramEnd"/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порода ________________________________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возраст, лет _______________________________________________________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количество деревьев основных лесных древесных пород, тыс. штук/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га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средняя высота, 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м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__________________________________________________</w:t>
      </w:r>
    </w:p>
    <w:p w:rsid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Объем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лесовосстановлению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(площадь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га) (для</w:t>
      </w:r>
      <w:proofErr w:type="gramEnd"/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лесных участков, предназначенных для проведения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на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 лесовосстановительные мероприятия осуществляются лицами, указанными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в </w:t>
      </w:r>
      <w:hyperlink r:id="rId14" w:history="1"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143250"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>«а»</w:t>
        </w:r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 государственными (муниципальными)</w:t>
      </w:r>
      <w:r w:rsidR="00143250"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15" w:history="1"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143250"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>«б»</w:t>
        </w:r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Правил)___________________________________________________________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Проектируемый объем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лесовосстановлению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(для лесных участков,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предназначенных для проведения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, 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на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которых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лесовосстановительные мероприятия осуществляются лицами, указанными в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hyperlink r:id="rId16" w:history="1">
        <w:r w:rsidR="00143250"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>подпункте «а»</w:t>
        </w:r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Правил, государственными (муниципальными)</w:t>
      </w:r>
      <w:r w:rsidR="00143250"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учреждениями, указанными в </w:t>
      </w:r>
      <w:hyperlink r:id="rId17" w:history="1"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подпункте </w:t>
        </w:r>
        <w:r w:rsidR="00143250"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>«б»</w:t>
        </w:r>
        <w:r w:rsidRPr="00143250">
          <w:rPr>
            <w:rFonts w:ascii="PT Astra Serif" w:eastAsiaTheme="minorHAnsi" w:hAnsi="PT Astra Serif" w:cs="Courier New"/>
            <w:b w:val="0"/>
            <w:bCs w:val="0"/>
            <w:color w:val="auto"/>
          </w:rPr>
          <w:t xml:space="preserve"> пункта 6</w:t>
        </w:r>
      </w:hyperlink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Правил):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площадь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лесовосстановления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, га ______________________________________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количество жизнеспособных растений основных лесных древесных пород, тыс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.ш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тук/га ________________________________________________________</w:t>
      </w:r>
    </w:p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количество жизнеспособных растений основных лесных древесных пород на всей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</w:t>
      </w: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площади, тыс. штук /</w:t>
      </w:r>
      <w:proofErr w:type="gram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га</w:t>
      </w:r>
      <w:proofErr w:type="gram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 xml:space="preserve"> _________________________________________</w:t>
      </w:r>
    </w:p>
    <w:p w:rsid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</w:p>
    <w:p w:rsidR="00C3763A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lastRenderedPageBreak/>
        <w:t xml:space="preserve">Исполнитель работ по </w:t>
      </w:r>
      <w:proofErr w:type="spellStart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лесовосстановлению</w:t>
      </w:r>
      <w:proofErr w:type="spellEnd"/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:</w:t>
      </w:r>
    </w:p>
    <w:p w:rsidR="00143250" w:rsidRPr="00143250" w:rsidRDefault="00143250" w:rsidP="00143250"/>
    <w:p w:rsidR="00C3763A" w:rsidRPr="009C42DF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</w:rPr>
      </w:pPr>
      <w:r w:rsidRPr="009C42DF">
        <w:rPr>
          <w:rFonts w:ascii="PT Astra Serif" w:eastAsiaTheme="minorHAnsi" w:hAnsi="PT Astra Serif" w:cs="Courier New"/>
          <w:b w:val="0"/>
          <w:bCs w:val="0"/>
          <w:color w:val="auto"/>
        </w:rPr>
        <w:t>_______________ _________ _________________</w:t>
      </w:r>
      <w:r w:rsidR="00143250">
        <w:rPr>
          <w:rFonts w:ascii="PT Astra Serif" w:eastAsiaTheme="minorHAnsi" w:hAnsi="PT Astra Serif" w:cs="Courier New"/>
          <w:b w:val="0"/>
          <w:bCs w:val="0"/>
          <w:color w:val="auto"/>
        </w:rPr>
        <w:t>_____________________</w:t>
      </w:r>
    </w:p>
    <w:p w:rsidR="00C3763A" w:rsidRPr="0014325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Должность</w:t>
      </w:r>
    </w:p>
    <w:p w:rsidR="00C3763A" w:rsidRPr="0014325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(при наличии)    подпись  (фамилия, имя, отчество - последнее при наличии)</w:t>
      </w:r>
    </w:p>
    <w:p w:rsidR="00C3763A" w:rsidRPr="00143250" w:rsidRDefault="00C3763A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</w:p>
    <w:p w:rsidR="00C3763A" w:rsidRP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«</w:t>
      </w:r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_</w:t>
      </w: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___</w:t>
      </w:r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_</w:t>
      </w: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»</w:t>
      </w:r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________ ____ </w:t>
      </w:r>
      <w:proofErr w:type="gramStart"/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г</w:t>
      </w:r>
      <w:proofErr w:type="gramEnd"/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.</w:t>
      </w:r>
    </w:p>
    <w:p w:rsidR="00C3763A" w:rsidRPr="00143250" w:rsidRDefault="00143250" w:rsidP="00C3763A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</w:pPr>
      <w:r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 xml:space="preserve">      </w:t>
      </w:r>
      <w:r w:rsidR="00C3763A" w:rsidRPr="00143250">
        <w:rPr>
          <w:rFonts w:ascii="PT Astra Serif" w:eastAsiaTheme="minorHAnsi" w:hAnsi="PT Astra Serif" w:cs="Courier New"/>
          <w:b w:val="0"/>
          <w:bCs w:val="0"/>
          <w:color w:val="auto"/>
          <w:sz w:val="20"/>
          <w:szCs w:val="20"/>
        </w:rPr>
        <w:t>Число, месяц, год</w:t>
      </w:r>
    </w:p>
    <w:p w:rsidR="00C3763A" w:rsidRDefault="00C3763A" w:rsidP="00C37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C3763A" w:rsidRDefault="00C3763A" w:rsidP="00C376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C3763A" w:rsidRDefault="00C3763A"/>
    <w:sectPr w:rsidR="00C3763A" w:rsidSect="004A3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3763A"/>
    <w:rsid w:val="00143250"/>
    <w:rsid w:val="004A3FA4"/>
    <w:rsid w:val="008D23C0"/>
    <w:rsid w:val="009C42DF"/>
    <w:rsid w:val="00C3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573&amp;dst=100042" TargetMode="External"/><Relationship Id="rId13" Type="http://schemas.openxmlformats.org/officeDocument/2006/relationships/hyperlink" Target="https://login.consultant.ru/link/?req=doc&amp;base=LAW&amp;n=456573&amp;dst=100043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6573&amp;dst=100043" TargetMode="External"/><Relationship Id="rId12" Type="http://schemas.openxmlformats.org/officeDocument/2006/relationships/hyperlink" Target="https://login.consultant.ru/link/?req=doc&amp;base=LAW&amp;n=456573&amp;dst=100042" TargetMode="External"/><Relationship Id="rId17" Type="http://schemas.openxmlformats.org/officeDocument/2006/relationships/hyperlink" Target="https://login.consultant.ru/link/?req=doc&amp;base=LAW&amp;n=456573&amp;dst=10004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6573&amp;dst=100042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6573&amp;dst=100042" TargetMode="External"/><Relationship Id="rId11" Type="http://schemas.openxmlformats.org/officeDocument/2006/relationships/hyperlink" Target="https://login.consultant.ru/link/?req=doc&amp;base=LAW&amp;n=456573&amp;dst=100043" TargetMode="External"/><Relationship Id="rId5" Type="http://schemas.openxmlformats.org/officeDocument/2006/relationships/hyperlink" Target="https://login.consultant.ru/link/?req=doc&amp;base=LAW&amp;n=456573&amp;dst=100043" TargetMode="External"/><Relationship Id="rId15" Type="http://schemas.openxmlformats.org/officeDocument/2006/relationships/hyperlink" Target="https://login.consultant.ru/link/?req=doc&amp;base=LAW&amp;n=456573&amp;dst=100043" TargetMode="External"/><Relationship Id="rId10" Type="http://schemas.openxmlformats.org/officeDocument/2006/relationships/hyperlink" Target="https://login.consultant.ru/link/?req=doc&amp;base=LAW&amp;n=456573&amp;dst=100042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LAW&amp;n=456573&amp;dst=100042" TargetMode="External"/><Relationship Id="rId9" Type="http://schemas.openxmlformats.org/officeDocument/2006/relationships/hyperlink" Target="https://login.consultant.ru/link/?req=doc&amp;base=LAW&amp;n=456573&amp;dst=100043" TargetMode="External"/><Relationship Id="rId14" Type="http://schemas.openxmlformats.org/officeDocument/2006/relationships/hyperlink" Target="https://login.consultant.ru/link/?req=doc&amp;base=LAW&amp;n=456573&amp;dst=100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Назаров</cp:lastModifiedBy>
  <cp:revision>1</cp:revision>
  <dcterms:created xsi:type="dcterms:W3CDTF">2024-04-19T11:38:00Z</dcterms:created>
  <dcterms:modified xsi:type="dcterms:W3CDTF">2024-04-19T12:43:00Z</dcterms:modified>
</cp:coreProperties>
</file>